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7" w:rsidRPr="00B823AC" w:rsidRDefault="004A7CF7" w:rsidP="000C31C6">
      <w:pPr>
        <w:jc w:val="center"/>
        <w:rPr>
          <w:b/>
          <w:lang w:val="sq-AL"/>
        </w:rPr>
      </w:pPr>
    </w:p>
    <w:p w:rsidR="004A7CF7" w:rsidRPr="00B823AC" w:rsidRDefault="004A7CF7" w:rsidP="005E79F7">
      <w:pPr>
        <w:jc w:val="center"/>
        <w:rPr>
          <w:b/>
          <w:lang w:val="sq-AL"/>
        </w:rPr>
      </w:pPr>
    </w:p>
    <w:p w:rsidR="004A7CF7" w:rsidRPr="00B823AC" w:rsidRDefault="00A12F37" w:rsidP="008644CA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VENDIM</w:t>
      </w:r>
      <w:r w:rsidR="00587B38" w:rsidRPr="00B823AC">
        <w:rPr>
          <w:rFonts w:ascii="Arial" w:hAnsi="Arial" w:cs="Arial"/>
          <w:b/>
          <w:bCs/>
          <w:sz w:val="22"/>
          <w:szCs w:val="22"/>
          <w:lang w:val="sq-AL"/>
        </w:rPr>
        <w:t>I I PAPRANUESHMËRISË</w:t>
      </w:r>
    </w:p>
    <w:p w:rsidR="004A7CF7" w:rsidRPr="00B823AC" w:rsidRDefault="004A7CF7" w:rsidP="008644CA">
      <w:pPr>
        <w:autoSpaceDE w:val="0"/>
        <w:ind w:left="720" w:firstLine="72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4A7CF7" w:rsidRPr="00B823AC" w:rsidRDefault="004A7CF7" w:rsidP="008644CA">
      <w:pPr>
        <w:autoSpaceDE w:val="0"/>
        <w:ind w:left="720" w:firstLine="72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4A7CF7" w:rsidRPr="00B823AC" w:rsidRDefault="004A7CF7" w:rsidP="008644CA">
      <w:pPr>
        <w:autoSpaceDE w:val="0"/>
        <w:ind w:left="720" w:firstLine="72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4A7CF7" w:rsidRPr="00B823AC" w:rsidRDefault="00A12F37" w:rsidP="00D6577F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Data e miratimit</w:t>
      </w:r>
      <w:r w:rsidR="004A7CF7" w:rsidRPr="00B823AC">
        <w:rPr>
          <w:rFonts w:ascii="Arial" w:hAnsi="Arial" w:cs="Arial"/>
          <w:b/>
          <w:bCs/>
          <w:sz w:val="22"/>
          <w:szCs w:val="22"/>
          <w:lang w:val="sq-AL"/>
        </w:rPr>
        <w:t>:</w:t>
      </w:r>
      <w:r w:rsidR="00566CAE"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 21 </w:t>
      </w:r>
      <w:r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prill </w:t>
      </w:r>
      <w:r w:rsidR="00566CAE" w:rsidRPr="00B823AC">
        <w:rPr>
          <w:rFonts w:ascii="Arial" w:hAnsi="Arial" w:cs="Arial"/>
          <w:b/>
          <w:bCs/>
          <w:sz w:val="22"/>
          <w:szCs w:val="22"/>
          <w:lang w:val="sq-AL"/>
        </w:rPr>
        <w:t>2015</w:t>
      </w:r>
    </w:p>
    <w:p w:rsidR="007D2020" w:rsidRPr="00B823AC" w:rsidRDefault="007D2020" w:rsidP="00D6577F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4A7CF7" w:rsidRPr="00B823AC" w:rsidRDefault="004A7CF7" w:rsidP="00D6577F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4A7CF7" w:rsidRPr="00B823AC" w:rsidRDefault="00A12F37" w:rsidP="00D6577F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Lënd</w:t>
      </w:r>
      <w:r w:rsidR="00587B38"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a nr. </w:t>
      </w:r>
      <w:r w:rsidR="00D142C6" w:rsidRPr="00B823AC">
        <w:rPr>
          <w:rFonts w:ascii="Arial" w:hAnsi="Arial" w:cs="Arial"/>
          <w:b/>
          <w:bCs/>
          <w:sz w:val="22"/>
          <w:szCs w:val="22"/>
          <w:lang w:val="sq-AL"/>
        </w:rPr>
        <w:t>201</w:t>
      </w:r>
      <w:r w:rsidR="00587B38" w:rsidRPr="00B823AC">
        <w:rPr>
          <w:rFonts w:ascii="Arial" w:hAnsi="Arial" w:cs="Arial"/>
          <w:b/>
          <w:bCs/>
          <w:sz w:val="22"/>
          <w:szCs w:val="22"/>
          <w:lang w:val="sq-AL"/>
        </w:rPr>
        <w:t>4</w:t>
      </w:r>
      <w:r w:rsidR="00D142C6" w:rsidRPr="00B823AC">
        <w:rPr>
          <w:rFonts w:ascii="Arial" w:hAnsi="Arial" w:cs="Arial"/>
          <w:b/>
          <w:bCs/>
          <w:sz w:val="22"/>
          <w:szCs w:val="22"/>
          <w:lang w:val="sq-AL"/>
        </w:rPr>
        <w:t>-0</w:t>
      </w:r>
      <w:r w:rsidR="00587B38" w:rsidRPr="00B823AC">
        <w:rPr>
          <w:rFonts w:ascii="Arial" w:hAnsi="Arial" w:cs="Arial"/>
          <w:b/>
          <w:bCs/>
          <w:sz w:val="22"/>
          <w:szCs w:val="22"/>
          <w:lang w:val="sq-AL"/>
        </w:rPr>
        <w:t>5</w:t>
      </w:r>
    </w:p>
    <w:p w:rsidR="004A7CF7" w:rsidRPr="00B823AC" w:rsidRDefault="004A7CF7" w:rsidP="00D6577F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4A7CF7" w:rsidRPr="00B823AC" w:rsidRDefault="00587B38" w:rsidP="00D6577F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proofErr w:type="spellStart"/>
      <w:r w:rsidRPr="00B823AC">
        <w:rPr>
          <w:rFonts w:ascii="Arial" w:hAnsi="Arial" w:cs="Arial"/>
          <w:b/>
          <w:bCs/>
          <w:sz w:val="22"/>
          <w:szCs w:val="22"/>
          <w:lang w:val="sq-AL"/>
        </w:rPr>
        <w:t>Mazlam</w:t>
      </w:r>
      <w:proofErr w:type="spellEnd"/>
      <w:r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 Ibrahimi</w:t>
      </w:r>
    </w:p>
    <w:p w:rsidR="004A7CF7" w:rsidRPr="00B823AC" w:rsidRDefault="004A7CF7" w:rsidP="00D6577F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4A7CF7" w:rsidRPr="00B823AC" w:rsidRDefault="00587B38" w:rsidP="00D6577F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k</w:t>
      </w:r>
      <w:r w:rsidR="00A12F37" w:rsidRPr="00B823AC">
        <w:rPr>
          <w:rFonts w:ascii="Arial" w:hAnsi="Arial" w:cs="Arial"/>
          <w:b/>
          <w:bCs/>
          <w:sz w:val="22"/>
          <w:szCs w:val="22"/>
          <w:lang w:val="sq-AL"/>
        </w:rPr>
        <w:t>undër</w:t>
      </w:r>
    </w:p>
    <w:p w:rsidR="004A7CF7" w:rsidRPr="00B823AC" w:rsidRDefault="004A7CF7" w:rsidP="00D6577F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4A7CF7" w:rsidRPr="00B823AC" w:rsidRDefault="004A7CF7" w:rsidP="00D6577F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EULEX</w:t>
      </w:r>
      <w:r w:rsidR="00A12F37" w:rsidRPr="00B823AC">
        <w:rPr>
          <w:rFonts w:ascii="Arial" w:hAnsi="Arial" w:cs="Arial"/>
          <w:b/>
          <w:bCs/>
          <w:sz w:val="22"/>
          <w:szCs w:val="22"/>
          <w:lang w:val="sq-AL"/>
        </w:rPr>
        <w:t>-</w:t>
      </w:r>
      <w:r w:rsidR="006A44A1" w:rsidRPr="00B823AC">
        <w:rPr>
          <w:rFonts w:ascii="Arial" w:hAnsi="Arial" w:cs="Arial"/>
          <w:b/>
          <w:bCs/>
          <w:sz w:val="22"/>
          <w:szCs w:val="22"/>
          <w:lang w:val="sq-AL"/>
        </w:rPr>
        <w:t>it</w:t>
      </w:r>
    </w:p>
    <w:p w:rsidR="004A7CF7" w:rsidRPr="00B823AC" w:rsidRDefault="004A7CF7" w:rsidP="008644CA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4A7CF7" w:rsidRPr="00B823AC" w:rsidRDefault="004A7CF7" w:rsidP="008644CA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4A7CF7" w:rsidRPr="00B823AC" w:rsidRDefault="004A7CF7" w:rsidP="008644CA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4A7CF7" w:rsidRPr="00B823AC" w:rsidRDefault="004A7CF7" w:rsidP="008644CA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D6577F" w:rsidRPr="00B823AC" w:rsidRDefault="00FE0889" w:rsidP="00D6577F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Paneli për Shqyrtimin e të Drejtave të Njeriut i mbledhur me 21 prill 2015, ku të pranishëm ishin anëtarët e paraqitur në vijim:</w:t>
      </w:r>
    </w:p>
    <w:p w:rsidR="002245CB" w:rsidRPr="00B823AC" w:rsidRDefault="002245CB" w:rsidP="00FE0889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FE0889" w:rsidRPr="00B823AC" w:rsidRDefault="00FE0889" w:rsidP="00FE0889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proofErr w:type="spellStart"/>
      <w:r w:rsidRPr="00B823AC">
        <w:rPr>
          <w:rFonts w:ascii="Arial" w:hAnsi="Arial" w:cs="Arial"/>
          <w:sz w:val="22"/>
          <w:szCs w:val="22"/>
          <w:lang w:val="sq-AL"/>
        </w:rPr>
        <w:t>Znj</w:t>
      </w:r>
      <w:proofErr w:type="spellEnd"/>
      <w:r w:rsidRPr="00B823AC">
        <w:rPr>
          <w:rFonts w:ascii="Arial" w:hAnsi="Arial" w:cs="Arial"/>
          <w:sz w:val="22"/>
          <w:szCs w:val="22"/>
          <w:lang w:val="sq-AL"/>
        </w:rPr>
        <w:t xml:space="preserve">. </w:t>
      </w:r>
      <w:proofErr w:type="spellStart"/>
      <w:r w:rsidRPr="00B823AC">
        <w:rPr>
          <w:rFonts w:ascii="Arial" w:hAnsi="Arial" w:cs="Arial"/>
          <w:sz w:val="22"/>
          <w:szCs w:val="22"/>
          <w:lang w:val="sq-AL"/>
        </w:rPr>
        <w:t>Magda</w:t>
      </w:r>
      <w:proofErr w:type="spellEnd"/>
      <w:r w:rsidRPr="00B823AC">
        <w:rPr>
          <w:rFonts w:ascii="Arial" w:hAnsi="Arial" w:cs="Arial"/>
          <w:sz w:val="22"/>
          <w:szCs w:val="22"/>
          <w:lang w:val="sq-AL"/>
        </w:rPr>
        <w:t xml:space="preserve"> MIERZEWSKA, kryesuese</w:t>
      </w:r>
    </w:p>
    <w:p w:rsidR="00FE0889" w:rsidRPr="00B823AC" w:rsidRDefault="00FE0889" w:rsidP="00FE0889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 xml:space="preserve">Z. </w:t>
      </w:r>
      <w:proofErr w:type="spellStart"/>
      <w:r w:rsidRPr="00B823AC">
        <w:rPr>
          <w:rFonts w:ascii="Arial" w:hAnsi="Arial" w:cs="Arial"/>
          <w:sz w:val="22"/>
          <w:szCs w:val="22"/>
          <w:lang w:val="sq-AL"/>
        </w:rPr>
        <w:t>Guénaël</w:t>
      </w:r>
      <w:proofErr w:type="spellEnd"/>
      <w:r w:rsidRPr="00B823AC">
        <w:rPr>
          <w:rFonts w:ascii="Arial" w:hAnsi="Arial" w:cs="Arial"/>
          <w:sz w:val="22"/>
          <w:szCs w:val="22"/>
          <w:lang w:val="sq-AL"/>
        </w:rPr>
        <w:t xml:space="preserve"> METTRAUX, anëtar</w:t>
      </w:r>
    </w:p>
    <w:p w:rsidR="00FE0889" w:rsidRPr="00B823AC" w:rsidRDefault="00FE0889" w:rsidP="00FE0889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proofErr w:type="spellStart"/>
      <w:r w:rsidRPr="00B823AC">
        <w:rPr>
          <w:rFonts w:ascii="Arial" w:hAnsi="Arial" w:cs="Arial"/>
          <w:sz w:val="22"/>
          <w:szCs w:val="22"/>
          <w:lang w:val="sq-AL"/>
        </w:rPr>
        <w:t>Znj</w:t>
      </w:r>
      <w:proofErr w:type="spellEnd"/>
      <w:r w:rsidRPr="00B823AC">
        <w:rPr>
          <w:rFonts w:ascii="Arial" w:hAnsi="Arial" w:cs="Arial"/>
          <w:sz w:val="22"/>
          <w:szCs w:val="22"/>
          <w:lang w:val="sq-AL"/>
        </w:rPr>
        <w:t>. Katja DOMINIK, anëtare</w:t>
      </w:r>
    </w:p>
    <w:p w:rsidR="00D6577F" w:rsidRPr="00B823AC" w:rsidRDefault="00D6577F" w:rsidP="00D6577F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FE0889" w:rsidRPr="00B823AC" w:rsidRDefault="00FE0889" w:rsidP="00FE0889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Ndihmuar nga</w:t>
      </w:r>
    </w:p>
    <w:p w:rsidR="00FE0889" w:rsidRPr="00B823AC" w:rsidRDefault="00FE0889" w:rsidP="00FE0889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Z. John J. Ryan, zyrtar i lartë ligjor</w:t>
      </w:r>
    </w:p>
    <w:p w:rsidR="00FE0889" w:rsidRPr="00B823AC" w:rsidRDefault="00FE0889" w:rsidP="00FE0889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proofErr w:type="spellStart"/>
      <w:r w:rsidRPr="00B823AC">
        <w:rPr>
          <w:rFonts w:ascii="Arial" w:hAnsi="Arial" w:cs="Arial"/>
          <w:sz w:val="22"/>
          <w:szCs w:val="22"/>
          <w:lang w:val="sq-AL"/>
        </w:rPr>
        <w:t>Znj</w:t>
      </w:r>
      <w:proofErr w:type="spellEnd"/>
      <w:r w:rsidRPr="00B823AC">
        <w:rPr>
          <w:rFonts w:ascii="Arial" w:hAnsi="Arial" w:cs="Arial"/>
          <w:sz w:val="22"/>
          <w:szCs w:val="22"/>
          <w:lang w:val="sq-AL"/>
        </w:rPr>
        <w:t>. Joanna MARSZALIK, zyrtare ligjore</w:t>
      </w:r>
    </w:p>
    <w:p w:rsidR="00D6577F" w:rsidRPr="00B823AC" w:rsidRDefault="00D6577F" w:rsidP="00D6577F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FE0889" w:rsidRPr="00B823AC" w:rsidRDefault="00FE0889" w:rsidP="00D6577F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Pas shqyrtimit të ankesës së lartpërmendur, e cila është dorëzuar në përputhje me Veprimin e Përbashkët të Këshillit 2008/124/CFSP të datës 4 shkurt 2008, Konceptin Llogaridhënës të EULEX-it të datës 29 tetor 2009 për themelimin e Panelit për Shqyrtimin e të Drejtave të Njeriut dhe rregullores së punës së Panelit siç është ndryshuar së fundi më 15 janar 2013,</w:t>
      </w:r>
    </w:p>
    <w:p w:rsidR="00FE0889" w:rsidRPr="00B823AC" w:rsidRDefault="00FE0889" w:rsidP="008644CA">
      <w:pPr>
        <w:autoSpaceDE w:val="0"/>
        <w:jc w:val="both"/>
        <w:rPr>
          <w:rFonts w:ascii="Arial" w:hAnsi="Arial" w:cs="Arial"/>
          <w:color w:val="FF0000"/>
          <w:sz w:val="22"/>
          <w:szCs w:val="22"/>
          <w:lang w:val="sq-AL"/>
        </w:rPr>
      </w:pPr>
    </w:p>
    <w:p w:rsidR="00FE0889" w:rsidRPr="00B823AC" w:rsidRDefault="00FE0889" w:rsidP="00FE0889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Pas shqyrtimit, u vendos si në vijim:</w:t>
      </w:r>
    </w:p>
    <w:p w:rsidR="00FE0889" w:rsidRPr="00B823AC" w:rsidRDefault="00FE0889" w:rsidP="00FE0889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4A7CF7" w:rsidRPr="00B823AC" w:rsidRDefault="004A7CF7" w:rsidP="001104EB">
      <w:pPr>
        <w:rPr>
          <w:sz w:val="26"/>
          <w:szCs w:val="26"/>
          <w:lang w:val="sq-AL"/>
        </w:rPr>
      </w:pPr>
    </w:p>
    <w:p w:rsidR="004A7CF7" w:rsidRPr="00B823AC" w:rsidRDefault="00817FD6" w:rsidP="001104EB">
      <w:pPr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PROCEDURA</w:t>
      </w:r>
    </w:p>
    <w:p w:rsidR="00FE0889" w:rsidRPr="00B823AC" w:rsidRDefault="00FE0889" w:rsidP="001104EB">
      <w:pPr>
        <w:rPr>
          <w:sz w:val="26"/>
          <w:szCs w:val="26"/>
          <w:lang w:val="sq-AL"/>
        </w:rPr>
      </w:pPr>
    </w:p>
    <w:p w:rsidR="00D142C6" w:rsidRPr="00B823AC" w:rsidRDefault="00FE0889" w:rsidP="00D142C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Anke</w:t>
      </w:r>
      <w:r w:rsidR="008D4F14" w:rsidRPr="00B823AC">
        <w:rPr>
          <w:rFonts w:ascii="Arial" w:hAnsi="Arial" w:cs="Arial"/>
          <w:sz w:val="22"/>
          <w:szCs w:val="22"/>
          <w:lang w:val="sq-AL"/>
        </w:rPr>
        <w:t>sa</w:t>
      </w:r>
      <w:r w:rsidR="001B56EE" w:rsidRPr="00B823AC">
        <w:rPr>
          <w:rFonts w:ascii="Arial" w:hAnsi="Arial" w:cs="Arial"/>
          <w:sz w:val="22"/>
          <w:szCs w:val="22"/>
          <w:lang w:val="sq-AL"/>
        </w:rPr>
        <w:t xml:space="preserve"> është </w:t>
      </w:r>
      <w:r w:rsidR="00817FD6" w:rsidRPr="00B823AC">
        <w:rPr>
          <w:rFonts w:ascii="Arial" w:hAnsi="Arial" w:cs="Arial"/>
          <w:sz w:val="22"/>
          <w:szCs w:val="22"/>
          <w:lang w:val="sq-AL"/>
        </w:rPr>
        <w:t xml:space="preserve">regjistruar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më </w:t>
      </w:r>
      <w:r w:rsidR="001B56EE" w:rsidRPr="00B823AC">
        <w:rPr>
          <w:rFonts w:ascii="Arial" w:hAnsi="Arial" w:cs="Arial"/>
          <w:sz w:val="22"/>
          <w:szCs w:val="22"/>
          <w:lang w:val="sq-AL"/>
        </w:rPr>
        <w:t xml:space="preserve">3 shkurt </w:t>
      </w:r>
      <w:r w:rsidR="00D142C6" w:rsidRPr="00B823AC">
        <w:rPr>
          <w:rFonts w:ascii="Arial" w:hAnsi="Arial" w:cs="Arial"/>
          <w:sz w:val="22"/>
          <w:szCs w:val="22"/>
          <w:lang w:val="sq-AL"/>
        </w:rPr>
        <w:t>201</w:t>
      </w:r>
      <w:r w:rsidR="001B56EE" w:rsidRPr="00B823AC">
        <w:rPr>
          <w:rFonts w:ascii="Arial" w:hAnsi="Arial" w:cs="Arial"/>
          <w:sz w:val="22"/>
          <w:szCs w:val="22"/>
          <w:lang w:val="sq-AL"/>
        </w:rPr>
        <w:t>4.</w:t>
      </w:r>
    </w:p>
    <w:p w:rsidR="00D142C6" w:rsidRPr="00B823AC" w:rsidRDefault="00D142C6" w:rsidP="00D142C6">
      <w:pPr>
        <w:ind w:left="720"/>
        <w:jc w:val="both"/>
        <w:rPr>
          <w:rFonts w:ascii="Arial" w:hAnsi="Arial" w:cs="Arial"/>
          <w:sz w:val="22"/>
          <w:szCs w:val="22"/>
          <w:lang w:val="sq-AL"/>
        </w:rPr>
      </w:pPr>
    </w:p>
    <w:p w:rsidR="00B77759" w:rsidRPr="00B823AC" w:rsidRDefault="00B77759" w:rsidP="00B77759">
      <w:pPr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Më 25 qershor 2014, Panel</w:t>
      </w:r>
      <w:r w:rsidR="00D26212" w:rsidRPr="00B823AC">
        <w:rPr>
          <w:rFonts w:ascii="Arial" w:hAnsi="Arial" w:cs="Arial"/>
          <w:sz w:val="22"/>
          <w:szCs w:val="22"/>
          <w:lang w:val="sq-AL"/>
        </w:rPr>
        <w:t xml:space="preserve">i ka </w:t>
      </w:r>
      <w:r w:rsidRPr="00B823AC">
        <w:rPr>
          <w:rFonts w:ascii="Arial" w:hAnsi="Arial" w:cs="Arial"/>
          <w:sz w:val="22"/>
          <w:szCs w:val="22"/>
          <w:lang w:val="sq-AL"/>
        </w:rPr>
        <w:t>vendo</w:t>
      </w:r>
      <w:r w:rsidR="00D26212" w:rsidRPr="00B823AC">
        <w:rPr>
          <w:rFonts w:ascii="Arial" w:hAnsi="Arial" w:cs="Arial"/>
          <w:sz w:val="22"/>
          <w:szCs w:val="22"/>
          <w:lang w:val="sq-AL"/>
        </w:rPr>
        <w:t>sur ta njoftoj s</w:t>
      </w:r>
      <w:r w:rsidRPr="00B823AC">
        <w:rPr>
          <w:rFonts w:ascii="Arial" w:hAnsi="Arial" w:cs="Arial"/>
          <w:sz w:val="22"/>
          <w:szCs w:val="22"/>
          <w:lang w:val="sq-AL"/>
        </w:rPr>
        <w:t>hefi</w:t>
      </w:r>
      <w:r w:rsidR="00D26212" w:rsidRPr="00B823AC">
        <w:rPr>
          <w:rFonts w:ascii="Arial" w:hAnsi="Arial" w:cs="Arial"/>
          <w:sz w:val="22"/>
          <w:szCs w:val="22"/>
          <w:lang w:val="sq-AL"/>
        </w:rPr>
        <w:t xml:space="preserve">n e </w:t>
      </w:r>
      <w:r w:rsidRPr="00B823AC">
        <w:rPr>
          <w:rFonts w:ascii="Arial" w:hAnsi="Arial" w:cs="Arial"/>
          <w:sz w:val="22"/>
          <w:szCs w:val="22"/>
          <w:lang w:val="sq-AL"/>
        </w:rPr>
        <w:t>Misionit (</w:t>
      </w:r>
      <w:proofErr w:type="spellStart"/>
      <w:r w:rsidR="00D26212" w:rsidRPr="00B823AC">
        <w:rPr>
          <w:rFonts w:ascii="Arial" w:hAnsi="Arial" w:cs="Arial"/>
          <w:sz w:val="22"/>
          <w:szCs w:val="22"/>
          <w:lang w:val="sq-AL"/>
        </w:rPr>
        <w:t>ShM</w:t>
      </w:r>
      <w:proofErr w:type="spellEnd"/>
      <w:r w:rsidRPr="00B823AC">
        <w:rPr>
          <w:rFonts w:ascii="Arial" w:hAnsi="Arial" w:cs="Arial"/>
          <w:sz w:val="22"/>
          <w:szCs w:val="22"/>
          <w:lang w:val="sq-AL"/>
        </w:rPr>
        <w:t>) të EULEX-it në Kosovë</w:t>
      </w:r>
      <w:r w:rsidR="00D26212" w:rsidRPr="00B823AC">
        <w:rPr>
          <w:rFonts w:ascii="Arial" w:hAnsi="Arial" w:cs="Arial"/>
          <w:sz w:val="22"/>
          <w:szCs w:val="22"/>
          <w:lang w:val="sq-AL"/>
        </w:rPr>
        <w:t xml:space="preserve"> rreth ankesës,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duke e ftuar atë që të parashtrojë </w:t>
      </w:r>
      <w:r w:rsidR="00817FD6" w:rsidRPr="00B823AC">
        <w:rPr>
          <w:rFonts w:ascii="Arial" w:hAnsi="Arial" w:cs="Arial"/>
          <w:sz w:val="22"/>
          <w:szCs w:val="22"/>
          <w:lang w:val="sq-AL"/>
        </w:rPr>
        <w:t xml:space="preserve">vërejtje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me shkrim </w:t>
      </w:r>
      <w:r w:rsidR="00D26212" w:rsidRPr="00B823AC">
        <w:rPr>
          <w:rFonts w:ascii="Arial" w:hAnsi="Arial" w:cs="Arial"/>
          <w:sz w:val="22"/>
          <w:szCs w:val="22"/>
          <w:lang w:val="sq-AL"/>
        </w:rPr>
        <w:t xml:space="preserve">për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ankesën. </w:t>
      </w:r>
      <w:r w:rsidR="00D26212" w:rsidRPr="00B823AC">
        <w:rPr>
          <w:rFonts w:ascii="Arial" w:hAnsi="Arial" w:cs="Arial"/>
          <w:sz w:val="22"/>
          <w:szCs w:val="22"/>
          <w:lang w:val="sq-AL"/>
        </w:rPr>
        <w:t>G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jithashtu </w:t>
      </w:r>
      <w:r w:rsidR="00D26212" w:rsidRPr="00B823AC">
        <w:rPr>
          <w:rFonts w:ascii="Arial" w:hAnsi="Arial" w:cs="Arial"/>
          <w:sz w:val="22"/>
          <w:szCs w:val="22"/>
          <w:lang w:val="sq-AL"/>
        </w:rPr>
        <w:t xml:space="preserve">është vendosur që të </w:t>
      </w:r>
      <w:r w:rsidRPr="00B823AC">
        <w:rPr>
          <w:rFonts w:ascii="Arial" w:hAnsi="Arial" w:cs="Arial"/>
          <w:sz w:val="22"/>
          <w:szCs w:val="22"/>
          <w:lang w:val="sq-AL"/>
        </w:rPr>
        <w:t>shqyr</w:t>
      </w:r>
      <w:r w:rsidR="00D26212" w:rsidRPr="00B823AC">
        <w:rPr>
          <w:rFonts w:ascii="Arial" w:hAnsi="Arial" w:cs="Arial"/>
          <w:sz w:val="22"/>
          <w:szCs w:val="22"/>
          <w:lang w:val="sq-AL"/>
        </w:rPr>
        <w:t xml:space="preserve">tohen </w:t>
      </w:r>
      <w:r w:rsidRPr="00B823AC">
        <w:rPr>
          <w:rFonts w:ascii="Arial" w:hAnsi="Arial" w:cs="Arial"/>
          <w:sz w:val="22"/>
          <w:szCs w:val="22"/>
          <w:lang w:val="sq-AL"/>
        </w:rPr>
        <w:t>meritat e aplik</w:t>
      </w:r>
      <w:r w:rsidR="00D26212" w:rsidRPr="00B823AC">
        <w:rPr>
          <w:rFonts w:ascii="Arial" w:hAnsi="Arial" w:cs="Arial"/>
          <w:sz w:val="22"/>
          <w:szCs w:val="22"/>
          <w:lang w:val="sq-AL"/>
        </w:rPr>
        <w:t xml:space="preserve">acionit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në të njëjtën kohë me </w:t>
      </w:r>
      <w:proofErr w:type="spellStart"/>
      <w:r w:rsidRPr="00B823AC">
        <w:rPr>
          <w:rFonts w:ascii="Arial" w:hAnsi="Arial" w:cs="Arial"/>
          <w:sz w:val="22"/>
          <w:szCs w:val="22"/>
          <w:lang w:val="sq-AL"/>
        </w:rPr>
        <w:t>pranueshmërinë</w:t>
      </w:r>
      <w:proofErr w:type="spellEnd"/>
      <w:r w:rsidRPr="00B823AC">
        <w:rPr>
          <w:rFonts w:ascii="Arial" w:hAnsi="Arial" w:cs="Arial"/>
          <w:sz w:val="22"/>
          <w:szCs w:val="22"/>
          <w:lang w:val="sq-AL"/>
        </w:rPr>
        <w:t xml:space="preserve"> e tij (</w:t>
      </w:r>
      <w:r w:rsidR="00D26212" w:rsidRPr="00B823AC">
        <w:rPr>
          <w:rFonts w:ascii="Arial" w:hAnsi="Arial" w:cs="Arial"/>
          <w:sz w:val="22"/>
          <w:szCs w:val="22"/>
          <w:lang w:val="sq-AL"/>
        </w:rPr>
        <w:t>r</w:t>
      </w:r>
      <w:r w:rsidRPr="00B823AC">
        <w:rPr>
          <w:rFonts w:ascii="Arial" w:hAnsi="Arial" w:cs="Arial"/>
          <w:sz w:val="22"/>
          <w:szCs w:val="22"/>
          <w:lang w:val="sq-AL"/>
        </w:rPr>
        <w:t>regulla 30</w:t>
      </w:r>
      <w:r w:rsidR="00817FD6" w:rsidRPr="00B823AC">
        <w:rPr>
          <w:rFonts w:ascii="Arial" w:hAnsi="Arial" w:cs="Arial"/>
          <w:sz w:val="22"/>
          <w:szCs w:val="22"/>
          <w:lang w:val="sq-AL"/>
        </w:rPr>
        <w:t>,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 </w:t>
      </w:r>
      <w:r w:rsidR="0078210C" w:rsidRPr="00B823AC">
        <w:rPr>
          <w:rFonts w:ascii="Arial" w:hAnsi="Arial" w:cs="Arial"/>
          <w:sz w:val="22"/>
          <w:szCs w:val="22"/>
          <w:lang w:val="sq-AL"/>
        </w:rPr>
        <w:t>paragrafët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 1 dhe 2 të </w:t>
      </w:r>
      <w:r w:rsidR="00D26212" w:rsidRPr="00B823AC">
        <w:rPr>
          <w:rFonts w:ascii="Arial" w:hAnsi="Arial" w:cs="Arial"/>
          <w:sz w:val="22"/>
          <w:szCs w:val="22"/>
          <w:lang w:val="sq-AL"/>
        </w:rPr>
        <w:t>r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regullores së </w:t>
      </w:r>
      <w:r w:rsidR="00D26212" w:rsidRPr="00B823AC">
        <w:rPr>
          <w:rFonts w:ascii="Arial" w:hAnsi="Arial" w:cs="Arial"/>
          <w:sz w:val="22"/>
          <w:szCs w:val="22"/>
          <w:lang w:val="sq-AL"/>
        </w:rPr>
        <w:t>p</w:t>
      </w:r>
      <w:r w:rsidRPr="00B823AC">
        <w:rPr>
          <w:rFonts w:ascii="Arial" w:hAnsi="Arial" w:cs="Arial"/>
          <w:sz w:val="22"/>
          <w:szCs w:val="22"/>
          <w:lang w:val="sq-AL"/>
        </w:rPr>
        <w:t>unës së Panelit).</w:t>
      </w:r>
    </w:p>
    <w:p w:rsidR="00B77759" w:rsidRPr="00B823AC" w:rsidRDefault="00B77759" w:rsidP="00B77759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D142C6" w:rsidRPr="00B823AC" w:rsidRDefault="00B77759" w:rsidP="004C1920">
      <w:pPr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lastRenderedPageBreak/>
        <w:t xml:space="preserve">Vërejtjet e </w:t>
      </w:r>
      <w:r w:rsidR="004069CF" w:rsidRPr="00B823AC">
        <w:rPr>
          <w:rFonts w:ascii="Arial" w:hAnsi="Arial" w:cs="Arial"/>
          <w:sz w:val="22"/>
          <w:szCs w:val="22"/>
          <w:lang w:val="sq-AL"/>
        </w:rPr>
        <w:t>s</w:t>
      </w:r>
      <w:r w:rsidRPr="00B823AC">
        <w:rPr>
          <w:rFonts w:ascii="Arial" w:hAnsi="Arial" w:cs="Arial"/>
          <w:sz w:val="22"/>
          <w:szCs w:val="22"/>
          <w:lang w:val="sq-AL"/>
        </w:rPr>
        <w:t>hefit të Misionit janë pranuar më 13 tetor 2014</w:t>
      </w:r>
      <w:r w:rsidR="009A0B3B" w:rsidRPr="00B823AC">
        <w:rPr>
          <w:rFonts w:ascii="Arial" w:hAnsi="Arial" w:cs="Arial"/>
          <w:sz w:val="22"/>
          <w:szCs w:val="22"/>
          <w:lang w:val="sq-AL"/>
        </w:rPr>
        <w:t>, ku më pastaj ato j</w:t>
      </w:r>
      <w:r w:rsidRPr="00B823AC">
        <w:rPr>
          <w:rFonts w:ascii="Arial" w:hAnsi="Arial" w:cs="Arial"/>
          <w:sz w:val="22"/>
          <w:szCs w:val="22"/>
          <w:lang w:val="sq-AL"/>
        </w:rPr>
        <w:t>anë përkthyer dhe komunikuar ankuesit për vërejtjet e tij shtesë.</w:t>
      </w:r>
    </w:p>
    <w:p w:rsidR="00B77759" w:rsidRPr="00B823AC" w:rsidRDefault="00B77759" w:rsidP="00B77759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B77759" w:rsidRPr="00B823AC" w:rsidRDefault="00B77759" w:rsidP="00B77759">
      <w:pPr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Më 28 nëntor 2014, ankuesi ka dërguar vërejtje shtesë, të cilat janë dërgua</w:t>
      </w:r>
      <w:r w:rsidR="002B2943" w:rsidRPr="00B823AC">
        <w:rPr>
          <w:rFonts w:ascii="Arial" w:hAnsi="Arial" w:cs="Arial"/>
          <w:sz w:val="22"/>
          <w:szCs w:val="22"/>
          <w:lang w:val="sq-AL"/>
        </w:rPr>
        <w:t>r tek s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hefi i Misionit për </w:t>
      </w:r>
      <w:r w:rsidR="002B2943" w:rsidRPr="00B823AC">
        <w:rPr>
          <w:rFonts w:ascii="Arial" w:hAnsi="Arial" w:cs="Arial"/>
          <w:sz w:val="22"/>
          <w:szCs w:val="22"/>
          <w:lang w:val="sq-AL"/>
        </w:rPr>
        <w:t xml:space="preserve">informim.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Nuk janë kërkuar </w:t>
      </w:r>
      <w:r w:rsidR="002B2943" w:rsidRPr="00B823AC">
        <w:rPr>
          <w:rFonts w:ascii="Arial" w:hAnsi="Arial" w:cs="Arial"/>
          <w:sz w:val="22"/>
          <w:szCs w:val="22"/>
          <w:lang w:val="sq-AL"/>
        </w:rPr>
        <w:t>vërejtje të tjera.</w:t>
      </w:r>
    </w:p>
    <w:p w:rsidR="001F3171" w:rsidRPr="00B823AC" w:rsidRDefault="001F3171" w:rsidP="001F3171">
      <w:pPr>
        <w:autoSpaceDE w:val="0"/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1F3171" w:rsidRPr="00B823AC" w:rsidRDefault="001F3171" w:rsidP="001F3171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4A7CF7" w:rsidRPr="00B823AC" w:rsidRDefault="00EC56AB" w:rsidP="00032602">
      <w:pPr>
        <w:rPr>
          <w:rFonts w:ascii="Arial" w:hAnsi="Arial" w:cs="Arial"/>
          <w:b/>
          <w:sz w:val="26"/>
          <w:szCs w:val="26"/>
          <w:lang w:val="sq-AL"/>
        </w:rPr>
      </w:pPr>
      <w:r w:rsidRPr="00B823AC">
        <w:rPr>
          <w:rFonts w:ascii="Arial" w:hAnsi="Arial" w:cs="Arial"/>
          <w:b/>
          <w:sz w:val="26"/>
          <w:szCs w:val="26"/>
          <w:lang w:val="sq-AL"/>
        </w:rPr>
        <w:t>FAKTET</w:t>
      </w:r>
    </w:p>
    <w:p w:rsidR="004A7CF7" w:rsidRPr="00B823AC" w:rsidRDefault="004A7CF7" w:rsidP="008644CA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2B2943" w:rsidRPr="00B823AC" w:rsidRDefault="002B2943" w:rsidP="002B2943">
      <w:pPr>
        <w:pStyle w:val="ListParagraph"/>
        <w:numPr>
          <w:ilvl w:val="0"/>
          <w:numId w:val="27"/>
        </w:numPr>
        <w:autoSpaceDE w:val="0"/>
        <w:ind w:left="720" w:hanging="11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RRETHANAT E LËNDËS</w:t>
      </w:r>
    </w:p>
    <w:p w:rsidR="002B2943" w:rsidRPr="00B823AC" w:rsidRDefault="002B2943" w:rsidP="008644CA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655F12" w:rsidRPr="00B823AC" w:rsidRDefault="00655F12" w:rsidP="00655F12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 xml:space="preserve">Ankuesi ishte i punësuar në kompaninë </w:t>
      </w:r>
      <w:r w:rsidR="00E07D86" w:rsidRPr="00B823AC">
        <w:rPr>
          <w:rFonts w:ascii="Arial" w:hAnsi="Arial" w:cs="Arial"/>
          <w:sz w:val="22"/>
          <w:szCs w:val="22"/>
          <w:lang w:val="sq-AL"/>
        </w:rPr>
        <w:t>“</w:t>
      </w:r>
      <w:r w:rsidRPr="00B823AC">
        <w:rPr>
          <w:rFonts w:ascii="Arial" w:hAnsi="Arial" w:cs="Arial"/>
          <w:sz w:val="22"/>
          <w:szCs w:val="22"/>
          <w:lang w:val="sq-AL"/>
        </w:rPr>
        <w:t>IT DRATEX</w:t>
      </w:r>
      <w:r w:rsidR="00E07D86" w:rsidRPr="00B823AC">
        <w:rPr>
          <w:rFonts w:ascii="Arial" w:hAnsi="Arial" w:cs="Arial"/>
          <w:sz w:val="22"/>
          <w:szCs w:val="22"/>
          <w:lang w:val="sq-AL"/>
        </w:rPr>
        <w:t xml:space="preserve">” </w:t>
      </w:r>
      <w:r w:rsidRPr="00B823AC">
        <w:rPr>
          <w:rFonts w:ascii="Arial" w:hAnsi="Arial" w:cs="Arial"/>
          <w:sz w:val="22"/>
          <w:szCs w:val="22"/>
          <w:lang w:val="sq-AL"/>
        </w:rPr>
        <w:t>në Dragash</w:t>
      </w:r>
      <w:r w:rsidR="007C53D2" w:rsidRPr="00B823AC">
        <w:rPr>
          <w:rFonts w:ascii="Arial" w:hAnsi="Arial" w:cs="Arial"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nga viti 1984 deri në qershor 1999, </w:t>
      </w:r>
      <w:r w:rsidR="00E07D86" w:rsidRPr="00B823AC">
        <w:rPr>
          <w:rFonts w:ascii="Arial" w:hAnsi="Arial" w:cs="Arial"/>
          <w:sz w:val="22"/>
          <w:szCs w:val="22"/>
          <w:lang w:val="sq-AL"/>
        </w:rPr>
        <w:t xml:space="preserve">kur ishte </w:t>
      </w:r>
      <w:r w:rsidRPr="00B823AC">
        <w:rPr>
          <w:rFonts w:ascii="Arial" w:hAnsi="Arial" w:cs="Arial"/>
          <w:sz w:val="22"/>
          <w:szCs w:val="22"/>
          <w:lang w:val="sq-AL"/>
        </w:rPr>
        <w:t>detyrua</w:t>
      </w:r>
      <w:r w:rsidR="00E07D86" w:rsidRPr="00B823AC">
        <w:rPr>
          <w:rFonts w:ascii="Arial" w:hAnsi="Arial" w:cs="Arial"/>
          <w:sz w:val="22"/>
          <w:szCs w:val="22"/>
          <w:lang w:val="sq-AL"/>
        </w:rPr>
        <w:t xml:space="preserve">r </w:t>
      </w:r>
      <w:r w:rsidRPr="00B823AC">
        <w:rPr>
          <w:rFonts w:ascii="Arial" w:hAnsi="Arial" w:cs="Arial"/>
          <w:sz w:val="22"/>
          <w:szCs w:val="22"/>
          <w:lang w:val="sq-AL"/>
        </w:rPr>
        <w:t>të largohe</w:t>
      </w:r>
      <w:r w:rsidR="00E07D86" w:rsidRPr="00B823AC">
        <w:rPr>
          <w:rFonts w:ascii="Arial" w:hAnsi="Arial" w:cs="Arial"/>
          <w:sz w:val="22"/>
          <w:szCs w:val="22"/>
          <w:lang w:val="sq-AL"/>
        </w:rPr>
        <w:t xml:space="preserve">j </w:t>
      </w:r>
      <w:r w:rsidRPr="00B823AC">
        <w:rPr>
          <w:rFonts w:ascii="Arial" w:hAnsi="Arial" w:cs="Arial"/>
          <w:sz w:val="22"/>
          <w:szCs w:val="22"/>
          <w:lang w:val="sq-AL"/>
        </w:rPr>
        <w:t>nga Kosova për shkaqe sigurie.</w:t>
      </w:r>
      <w:r w:rsidR="00E710CC" w:rsidRPr="00B823AC">
        <w:rPr>
          <w:rFonts w:ascii="Arial" w:hAnsi="Arial" w:cs="Arial"/>
          <w:sz w:val="22"/>
          <w:szCs w:val="22"/>
          <w:lang w:val="sq-AL"/>
        </w:rPr>
        <w:t xml:space="preserve"> </w:t>
      </w:r>
      <w:r w:rsidR="00E07D86" w:rsidRPr="00B823AC">
        <w:rPr>
          <w:rFonts w:ascii="Arial" w:hAnsi="Arial" w:cs="Arial"/>
          <w:sz w:val="22"/>
          <w:szCs w:val="22"/>
          <w:lang w:val="sq-AL"/>
        </w:rPr>
        <w:t>T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ani </w:t>
      </w:r>
      <w:r w:rsidR="00E07D86" w:rsidRPr="00B823AC">
        <w:rPr>
          <w:rFonts w:ascii="Arial" w:hAnsi="Arial" w:cs="Arial"/>
          <w:sz w:val="22"/>
          <w:szCs w:val="22"/>
          <w:lang w:val="sq-AL"/>
        </w:rPr>
        <w:t xml:space="preserve">ai </w:t>
      </w:r>
      <w:r w:rsidRPr="00B823AC">
        <w:rPr>
          <w:rFonts w:ascii="Arial" w:hAnsi="Arial" w:cs="Arial"/>
          <w:sz w:val="22"/>
          <w:szCs w:val="22"/>
          <w:lang w:val="sq-AL"/>
        </w:rPr>
        <w:t>është i papunë dhe jeton në Republikën e Serbisë.</w:t>
      </w:r>
    </w:p>
    <w:p w:rsidR="00063A4D" w:rsidRPr="00B823AC" w:rsidRDefault="00063A4D" w:rsidP="004F42B5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A70270" w:rsidRPr="00B823AC" w:rsidRDefault="00655F12" w:rsidP="00655F12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Më 30 tetor 2006, a</w:t>
      </w:r>
      <w:r w:rsidR="00721055" w:rsidRPr="00B823AC">
        <w:rPr>
          <w:rFonts w:ascii="Arial" w:hAnsi="Arial" w:cs="Arial"/>
          <w:sz w:val="22"/>
          <w:szCs w:val="22"/>
          <w:lang w:val="sq-AL"/>
        </w:rPr>
        <w:t xml:space="preserve">i ka </w:t>
      </w:r>
      <w:r w:rsidRPr="00B823AC">
        <w:rPr>
          <w:rFonts w:ascii="Arial" w:hAnsi="Arial" w:cs="Arial"/>
          <w:sz w:val="22"/>
          <w:szCs w:val="22"/>
          <w:lang w:val="sq-AL"/>
        </w:rPr>
        <w:t>paraqi</w:t>
      </w:r>
      <w:r w:rsidR="00721055" w:rsidRPr="00B823AC">
        <w:rPr>
          <w:rFonts w:ascii="Arial" w:hAnsi="Arial" w:cs="Arial"/>
          <w:sz w:val="22"/>
          <w:szCs w:val="22"/>
          <w:lang w:val="sq-AL"/>
        </w:rPr>
        <w:t xml:space="preserve">tur </w:t>
      </w:r>
      <w:r w:rsidRPr="00B823AC">
        <w:rPr>
          <w:rFonts w:ascii="Arial" w:hAnsi="Arial" w:cs="Arial"/>
          <w:sz w:val="22"/>
          <w:szCs w:val="22"/>
          <w:lang w:val="sq-AL"/>
        </w:rPr>
        <w:t>një kërkesë për pagesën e pagave të papaguara në vlerë prej 6,000 euro (gjashtë mijë euro)</w:t>
      </w:r>
      <w:r w:rsidR="00721055" w:rsidRPr="00B823AC">
        <w:rPr>
          <w:rFonts w:ascii="Arial" w:hAnsi="Arial" w:cs="Arial"/>
          <w:sz w:val="22"/>
          <w:szCs w:val="22"/>
          <w:lang w:val="sq-AL"/>
        </w:rPr>
        <w:t xml:space="preserve"> në </w:t>
      </w:r>
      <w:r w:rsidRPr="00B823AC">
        <w:rPr>
          <w:rFonts w:ascii="Arial" w:hAnsi="Arial" w:cs="Arial"/>
          <w:sz w:val="22"/>
          <w:szCs w:val="22"/>
          <w:lang w:val="sq-AL"/>
        </w:rPr>
        <w:t>zyrën e Agjencisë Kosovare të Mirëbesimit në Beograd.</w:t>
      </w:r>
    </w:p>
    <w:p w:rsidR="004F42B5" w:rsidRPr="00B823AC" w:rsidRDefault="004F42B5" w:rsidP="004F77BA">
      <w:pPr>
        <w:pStyle w:val="ListParagraph"/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655F12" w:rsidRPr="00B823AC" w:rsidRDefault="00655F12" w:rsidP="00655F12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Më 24 prill 2013, Agjencia Kosovare e Privatizimit (AKP</w:t>
      </w:r>
      <w:r w:rsidR="00721055" w:rsidRPr="00B823AC">
        <w:rPr>
          <w:rFonts w:ascii="Arial" w:hAnsi="Arial" w:cs="Arial"/>
          <w:sz w:val="22"/>
          <w:szCs w:val="22"/>
          <w:lang w:val="sq-AL"/>
        </w:rPr>
        <w:t xml:space="preserve">-ja,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pasardhëse e Agjencisë Kosovare të Mirëbesimit) </w:t>
      </w:r>
      <w:r w:rsidR="00721055" w:rsidRPr="00B823AC">
        <w:rPr>
          <w:rFonts w:ascii="Arial" w:hAnsi="Arial" w:cs="Arial"/>
          <w:sz w:val="22"/>
          <w:szCs w:val="22"/>
          <w:lang w:val="sq-AL"/>
        </w:rPr>
        <w:t xml:space="preserve">ka </w:t>
      </w:r>
      <w:r w:rsidRPr="00B823AC">
        <w:rPr>
          <w:rFonts w:ascii="Arial" w:hAnsi="Arial" w:cs="Arial"/>
          <w:sz w:val="22"/>
          <w:szCs w:val="22"/>
          <w:lang w:val="sq-AL"/>
        </w:rPr>
        <w:t>refu</w:t>
      </w:r>
      <w:r w:rsidR="00721055" w:rsidRPr="00B823AC">
        <w:rPr>
          <w:rFonts w:ascii="Arial" w:hAnsi="Arial" w:cs="Arial"/>
          <w:sz w:val="22"/>
          <w:szCs w:val="22"/>
          <w:lang w:val="sq-AL"/>
        </w:rPr>
        <w:t xml:space="preserve">zuar </w:t>
      </w:r>
      <w:r w:rsidRPr="00B823AC">
        <w:rPr>
          <w:rFonts w:ascii="Arial" w:hAnsi="Arial" w:cs="Arial"/>
          <w:sz w:val="22"/>
          <w:szCs w:val="22"/>
          <w:lang w:val="sq-AL"/>
        </w:rPr>
        <w:t>kërkesë</w:t>
      </w:r>
      <w:r w:rsidR="00721055" w:rsidRPr="00B823AC">
        <w:rPr>
          <w:rFonts w:ascii="Arial" w:hAnsi="Arial" w:cs="Arial"/>
          <w:sz w:val="22"/>
          <w:szCs w:val="22"/>
          <w:lang w:val="sq-AL"/>
        </w:rPr>
        <w:t>n</w:t>
      </w:r>
      <w:r w:rsidRPr="00B823AC">
        <w:rPr>
          <w:rFonts w:ascii="Arial" w:hAnsi="Arial" w:cs="Arial"/>
          <w:sz w:val="22"/>
          <w:szCs w:val="22"/>
          <w:lang w:val="sq-AL"/>
        </w:rPr>
        <w:t>. AKP-ja ka gjetur se ajo ishte pa</w:t>
      </w:r>
      <w:r w:rsidR="005D6B87" w:rsidRPr="00B823AC">
        <w:rPr>
          <w:rFonts w:ascii="Arial" w:hAnsi="Arial" w:cs="Arial"/>
          <w:sz w:val="22"/>
          <w:szCs w:val="22"/>
          <w:lang w:val="sq-AL"/>
        </w:rPr>
        <w:t xml:space="preserve">rashtruar </w:t>
      </w:r>
      <w:r w:rsidRPr="00B823AC">
        <w:rPr>
          <w:rFonts w:ascii="Arial" w:hAnsi="Arial" w:cs="Arial"/>
          <w:sz w:val="22"/>
          <w:szCs w:val="22"/>
          <w:lang w:val="sq-AL"/>
        </w:rPr>
        <w:t>shumë herët, sepse procedura</w:t>
      </w:r>
      <w:r w:rsidR="00721055" w:rsidRPr="00B823AC">
        <w:rPr>
          <w:rFonts w:ascii="Arial" w:hAnsi="Arial" w:cs="Arial"/>
          <w:sz w:val="22"/>
          <w:szCs w:val="22"/>
          <w:lang w:val="sq-AL"/>
        </w:rPr>
        <w:t>t për likuidimin e “</w:t>
      </w:r>
      <w:r w:rsidRPr="00B823AC">
        <w:rPr>
          <w:rFonts w:ascii="Arial" w:hAnsi="Arial" w:cs="Arial"/>
          <w:sz w:val="22"/>
          <w:szCs w:val="22"/>
          <w:lang w:val="sq-AL"/>
        </w:rPr>
        <w:t>IT DRATE</w:t>
      </w:r>
      <w:r w:rsidR="00721055" w:rsidRPr="00B823AC">
        <w:rPr>
          <w:rFonts w:ascii="Arial" w:hAnsi="Arial" w:cs="Arial"/>
          <w:sz w:val="22"/>
          <w:szCs w:val="22"/>
          <w:lang w:val="sq-AL"/>
        </w:rPr>
        <w:t xml:space="preserve">X” </w:t>
      </w:r>
      <w:r w:rsidRPr="00B823AC">
        <w:rPr>
          <w:rFonts w:ascii="Arial" w:hAnsi="Arial" w:cs="Arial"/>
          <w:sz w:val="22"/>
          <w:szCs w:val="22"/>
          <w:lang w:val="sq-AL"/>
        </w:rPr>
        <w:t>nuk k</w:t>
      </w:r>
      <w:r w:rsidR="00721055" w:rsidRPr="00B823AC">
        <w:rPr>
          <w:rFonts w:ascii="Arial" w:hAnsi="Arial" w:cs="Arial"/>
          <w:sz w:val="22"/>
          <w:szCs w:val="22"/>
          <w:lang w:val="sq-AL"/>
        </w:rPr>
        <w:t xml:space="preserve">ishin filluar </w:t>
      </w:r>
      <w:r w:rsidRPr="00B823AC">
        <w:rPr>
          <w:rFonts w:ascii="Arial" w:hAnsi="Arial" w:cs="Arial"/>
          <w:sz w:val="22"/>
          <w:szCs w:val="22"/>
          <w:lang w:val="sq-AL"/>
        </w:rPr>
        <w:t>ende.</w:t>
      </w:r>
    </w:p>
    <w:p w:rsidR="00655F12" w:rsidRPr="00B823AC" w:rsidRDefault="00655F12" w:rsidP="00655F1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655F12" w:rsidRPr="00B823AC" w:rsidRDefault="00655F12" w:rsidP="00655F12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 xml:space="preserve">Më 17 qershor 2013, ankuesi </w:t>
      </w:r>
      <w:r w:rsidR="00227F7D" w:rsidRPr="00B823AC">
        <w:rPr>
          <w:rFonts w:ascii="Arial" w:hAnsi="Arial" w:cs="Arial"/>
          <w:sz w:val="22"/>
          <w:szCs w:val="22"/>
          <w:lang w:val="sq-AL"/>
        </w:rPr>
        <w:t xml:space="preserve">ka parashtruar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një ankesë kundër vendimit të AKP-së </w:t>
      </w:r>
      <w:r w:rsidR="00227F7D" w:rsidRPr="00B823AC">
        <w:rPr>
          <w:rFonts w:ascii="Arial" w:hAnsi="Arial" w:cs="Arial"/>
          <w:sz w:val="22"/>
          <w:szCs w:val="22"/>
          <w:lang w:val="sq-AL"/>
        </w:rPr>
        <w:t xml:space="preserve">në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Dhomën e Posaçme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të Gjykatës Supreme të Kosovës për çështjet </w:t>
      </w:r>
      <w:r w:rsidR="00227F7D" w:rsidRPr="00B823AC">
        <w:rPr>
          <w:rFonts w:ascii="Arial" w:hAnsi="Arial" w:cs="Arial"/>
          <w:sz w:val="22"/>
          <w:szCs w:val="22"/>
          <w:lang w:val="sq-AL"/>
        </w:rPr>
        <w:t xml:space="preserve">që lidhen me </w:t>
      </w:r>
      <w:r w:rsidRPr="00B823AC">
        <w:rPr>
          <w:rFonts w:ascii="Arial" w:hAnsi="Arial" w:cs="Arial"/>
          <w:sz w:val="22"/>
          <w:szCs w:val="22"/>
          <w:lang w:val="sq-AL"/>
        </w:rPr>
        <w:t>Agjencinë Kosovare të Privatizimit (</w:t>
      </w:r>
      <w:proofErr w:type="spellStart"/>
      <w:r w:rsidRPr="00B823AC">
        <w:rPr>
          <w:rFonts w:ascii="Arial" w:hAnsi="Arial" w:cs="Arial"/>
          <w:sz w:val="22"/>
          <w:szCs w:val="22"/>
          <w:lang w:val="sq-AL"/>
        </w:rPr>
        <w:t>D</w:t>
      </w:r>
      <w:r w:rsidR="0056388B" w:rsidRPr="00B823AC">
        <w:rPr>
          <w:rFonts w:ascii="Arial" w:hAnsi="Arial" w:cs="Arial"/>
          <w:sz w:val="22"/>
          <w:szCs w:val="22"/>
          <w:lang w:val="sq-AL"/>
        </w:rPr>
        <w:t>h</w:t>
      </w:r>
      <w:r w:rsidRPr="00B823AC">
        <w:rPr>
          <w:rFonts w:ascii="Arial" w:hAnsi="Arial" w:cs="Arial"/>
          <w:sz w:val="22"/>
          <w:szCs w:val="22"/>
          <w:lang w:val="sq-AL"/>
        </w:rPr>
        <w:t>PGJS</w:t>
      </w:r>
      <w:proofErr w:type="spellEnd"/>
      <w:r w:rsidRPr="00B823AC">
        <w:rPr>
          <w:rFonts w:ascii="Arial" w:hAnsi="Arial" w:cs="Arial"/>
          <w:sz w:val="22"/>
          <w:szCs w:val="22"/>
          <w:lang w:val="sq-AL"/>
        </w:rPr>
        <w:t xml:space="preserve">). Ai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ka </w:t>
      </w:r>
      <w:r w:rsidRPr="00B823AC">
        <w:rPr>
          <w:rFonts w:ascii="Arial" w:hAnsi="Arial" w:cs="Arial"/>
          <w:sz w:val="22"/>
          <w:szCs w:val="22"/>
          <w:lang w:val="sq-AL"/>
        </w:rPr>
        <w:t>kërk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uar </w:t>
      </w:r>
      <w:r w:rsidRPr="00B823AC">
        <w:rPr>
          <w:rFonts w:ascii="Arial" w:hAnsi="Arial" w:cs="Arial"/>
          <w:sz w:val="22"/>
          <w:szCs w:val="22"/>
          <w:lang w:val="sq-AL"/>
        </w:rPr>
        <w:t>gjithashtu që të liroh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et </w:t>
      </w:r>
      <w:r w:rsidRPr="00B823AC">
        <w:rPr>
          <w:rFonts w:ascii="Arial" w:hAnsi="Arial" w:cs="Arial"/>
          <w:sz w:val="22"/>
          <w:szCs w:val="22"/>
          <w:lang w:val="sq-AL"/>
        </w:rPr>
        <w:t>nga pagesa e taksave gjyqësore dhe shpenzime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ve të </w:t>
      </w:r>
      <w:r w:rsidRPr="00B823AC">
        <w:rPr>
          <w:rFonts w:ascii="Arial" w:hAnsi="Arial" w:cs="Arial"/>
          <w:sz w:val="22"/>
          <w:szCs w:val="22"/>
          <w:lang w:val="sq-AL"/>
        </w:rPr>
        <w:t>përkthimit të aplik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acioneve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dhe dokumenteve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shtesë në gjuhën </w:t>
      </w:r>
      <w:r w:rsidRPr="00B823AC">
        <w:rPr>
          <w:rFonts w:ascii="Arial" w:hAnsi="Arial" w:cs="Arial"/>
          <w:sz w:val="22"/>
          <w:szCs w:val="22"/>
          <w:lang w:val="sq-AL"/>
        </w:rPr>
        <w:t>an</w:t>
      </w:r>
      <w:r w:rsidR="00427AAE" w:rsidRPr="00B823AC">
        <w:rPr>
          <w:rFonts w:ascii="Arial" w:hAnsi="Arial" w:cs="Arial"/>
          <w:sz w:val="22"/>
          <w:szCs w:val="22"/>
          <w:lang w:val="sq-AL"/>
        </w:rPr>
        <w:t xml:space="preserve">gleze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(siç kërkohet nga neni 25.8 të shtojcës së ligjit </w:t>
      </w:r>
      <w:r w:rsidR="0078210C" w:rsidRPr="00B823AC">
        <w:rPr>
          <w:rFonts w:ascii="Arial" w:hAnsi="Arial" w:cs="Arial"/>
          <w:sz w:val="22"/>
          <w:szCs w:val="22"/>
          <w:lang w:val="sq-AL"/>
        </w:rPr>
        <w:t>nr.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 04/l-033 për Dhomën e Posaçme të Gjykatës Supreme të Kosovës për çështjet që lidhen me Agjencinë Kosovare të Privatizimit, </w:t>
      </w:r>
      <w:r w:rsidR="00427AAE" w:rsidRPr="00B823AC">
        <w:rPr>
          <w:rFonts w:ascii="Arial" w:hAnsi="Arial" w:cs="Arial"/>
          <w:sz w:val="22"/>
          <w:szCs w:val="22"/>
          <w:lang w:val="sq-AL"/>
        </w:rPr>
        <w:t>rreg</w:t>
      </w:r>
      <w:r w:rsidRPr="00B823AC">
        <w:rPr>
          <w:rFonts w:ascii="Arial" w:hAnsi="Arial" w:cs="Arial"/>
          <w:sz w:val="22"/>
          <w:szCs w:val="22"/>
          <w:lang w:val="sq-AL"/>
        </w:rPr>
        <w:t>ullorj</w:t>
      </w:r>
      <w:r w:rsidR="00427AAE" w:rsidRPr="00B823AC">
        <w:rPr>
          <w:rFonts w:ascii="Arial" w:hAnsi="Arial" w:cs="Arial"/>
          <w:sz w:val="22"/>
          <w:szCs w:val="22"/>
          <w:lang w:val="sq-AL"/>
        </w:rPr>
        <w:t>a e p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unës së Dhomës së Posaçme të Gjykatës Supreme të Kosovës për çështjet që lidhen me Agjencinë Kosovare të Privatizimit (Ligji mbi </w:t>
      </w:r>
      <w:proofErr w:type="spellStart"/>
      <w:r w:rsidRPr="00B823AC">
        <w:rPr>
          <w:rFonts w:ascii="Arial" w:hAnsi="Arial" w:cs="Arial"/>
          <w:sz w:val="22"/>
          <w:szCs w:val="22"/>
          <w:lang w:val="sq-AL"/>
        </w:rPr>
        <w:t>D</w:t>
      </w:r>
      <w:r w:rsidR="0056388B" w:rsidRPr="00B823AC">
        <w:rPr>
          <w:rFonts w:ascii="Arial" w:hAnsi="Arial" w:cs="Arial"/>
          <w:sz w:val="22"/>
          <w:szCs w:val="22"/>
          <w:lang w:val="sq-AL"/>
        </w:rPr>
        <w:t>h</w:t>
      </w:r>
      <w:r w:rsidRPr="00B823AC">
        <w:rPr>
          <w:rFonts w:ascii="Arial" w:hAnsi="Arial" w:cs="Arial"/>
          <w:sz w:val="22"/>
          <w:szCs w:val="22"/>
          <w:lang w:val="sq-AL"/>
        </w:rPr>
        <w:t>PGJS</w:t>
      </w:r>
      <w:proofErr w:type="spellEnd"/>
      <w:r w:rsidRPr="00B823AC">
        <w:rPr>
          <w:rFonts w:ascii="Arial" w:hAnsi="Arial" w:cs="Arial"/>
          <w:sz w:val="22"/>
          <w:szCs w:val="22"/>
          <w:lang w:val="sq-AL"/>
        </w:rPr>
        <w:t xml:space="preserve">)). Ai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ka </w:t>
      </w:r>
      <w:r w:rsidRPr="00B823AC">
        <w:rPr>
          <w:rFonts w:ascii="Arial" w:hAnsi="Arial" w:cs="Arial"/>
          <w:sz w:val="22"/>
          <w:szCs w:val="22"/>
          <w:lang w:val="sq-AL"/>
        </w:rPr>
        <w:t>argumen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tuar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se ishte person i zhvendosur,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i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papunë dhe me aftësi të kufizuara, në një situatë të vështirë financiare,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e në atë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mënyrë pagesa e këtyre shpenzimeve do </w:t>
      </w:r>
      <w:r w:rsidR="00EF4452">
        <w:rPr>
          <w:rFonts w:ascii="Arial" w:hAnsi="Arial" w:cs="Arial"/>
          <w:sz w:val="22"/>
          <w:szCs w:val="22"/>
          <w:lang w:val="sq-AL"/>
        </w:rPr>
        <w:t xml:space="preserve">ta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rrezikonte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edhe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ekzistencën </w:t>
      </w:r>
      <w:r w:rsidR="00427AAE" w:rsidRPr="00B823AC">
        <w:rPr>
          <w:rFonts w:ascii="Arial" w:hAnsi="Arial" w:cs="Arial"/>
          <w:sz w:val="22"/>
          <w:szCs w:val="22"/>
          <w:lang w:val="sq-AL"/>
        </w:rPr>
        <w:t>e tij dhe të f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amiljes së tij. Ai gjithashtu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ka </w:t>
      </w:r>
      <w:r w:rsidRPr="00B823AC">
        <w:rPr>
          <w:rFonts w:ascii="Arial" w:hAnsi="Arial" w:cs="Arial"/>
          <w:sz w:val="22"/>
          <w:szCs w:val="22"/>
          <w:lang w:val="sq-AL"/>
        </w:rPr>
        <w:t>pa</w:t>
      </w:r>
      <w:r w:rsidR="0056388B" w:rsidRPr="00B823AC">
        <w:rPr>
          <w:rFonts w:ascii="Arial" w:hAnsi="Arial" w:cs="Arial"/>
          <w:sz w:val="22"/>
          <w:szCs w:val="22"/>
          <w:lang w:val="sq-AL"/>
        </w:rPr>
        <w:t xml:space="preserve">rashtruar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dokumentet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përkatëse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si kopjet 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e librezës së regjistrimit të </w:t>
      </w:r>
      <w:proofErr w:type="spellStart"/>
      <w:r w:rsidR="009B2DCC" w:rsidRPr="00B823AC">
        <w:rPr>
          <w:rFonts w:ascii="Arial" w:hAnsi="Arial" w:cs="Arial"/>
          <w:sz w:val="22"/>
          <w:szCs w:val="22"/>
          <w:lang w:val="sq-AL"/>
        </w:rPr>
        <w:t>DhPGjS</w:t>
      </w:r>
      <w:proofErr w:type="spellEnd"/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-së dhe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certifikatën e </w:t>
      </w:r>
      <w:r w:rsidR="009B2DCC" w:rsidRPr="00B823AC">
        <w:rPr>
          <w:rFonts w:ascii="Arial" w:hAnsi="Arial" w:cs="Arial"/>
          <w:sz w:val="22"/>
          <w:szCs w:val="22"/>
          <w:lang w:val="sq-AL"/>
        </w:rPr>
        <w:t>S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hërbimit </w:t>
      </w:r>
      <w:r w:rsidR="009B2DCC" w:rsidRPr="00B823AC">
        <w:rPr>
          <w:rFonts w:ascii="Arial" w:hAnsi="Arial" w:cs="Arial"/>
          <w:sz w:val="22"/>
          <w:szCs w:val="22"/>
          <w:lang w:val="sq-AL"/>
        </w:rPr>
        <w:t>K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ombëtar </w:t>
      </w:r>
      <w:r w:rsidR="00EF4452">
        <w:rPr>
          <w:rFonts w:ascii="Arial" w:hAnsi="Arial" w:cs="Arial"/>
          <w:sz w:val="22"/>
          <w:szCs w:val="22"/>
          <w:lang w:val="sq-AL"/>
        </w:rPr>
        <w:t xml:space="preserve">për Punësim.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Këto </w:t>
      </w:r>
      <w:r w:rsidR="009B2DCC" w:rsidRPr="00B823AC">
        <w:rPr>
          <w:rFonts w:ascii="Arial" w:hAnsi="Arial" w:cs="Arial"/>
          <w:sz w:val="22"/>
          <w:szCs w:val="22"/>
          <w:lang w:val="sq-AL"/>
        </w:rPr>
        <w:t>ka</w:t>
      </w:r>
      <w:r w:rsidR="0056388B" w:rsidRPr="00B823AC">
        <w:rPr>
          <w:rFonts w:ascii="Arial" w:hAnsi="Arial" w:cs="Arial"/>
          <w:sz w:val="22"/>
          <w:szCs w:val="22"/>
          <w:lang w:val="sq-AL"/>
        </w:rPr>
        <w:t>në</w:t>
      </w:r>
      <w:r w:rsidR="009B2DCC" w:rsidRPr="00B823AC">
        <w:rPr>
          <w:rFonts w:ascii="Arial" w:hAnsi="Arial" w:cs="Arial"/>
          <w:sz w:val="22"/>
          <w:szCs w:val="22"/>
          <w:lang w:val="sq-AL"/>
        </w:rPr>
        <w:t xml:space="preserve"> k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onfirmuar se ai ka marrë </w:t>
      </w:r>
      <w:r w:rsidR="00AC2B38" w:rsidRPr="00B823AC">
        <w:rPr>
          <w:rFonts w:ascii="Arial" w:hAnsi="Arial" w:cs="Arial"/>
          <w:sz w:val="22"/>
          <w:szCs w:val="22"/>
          <w:lang w:val="sq-AL"/>
        </w:rPr>
        <w:t xml:space="preserve">ndihmë të përkohshme sociale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mujore prej 5,684.00 </w:t>
      </w:r>
      <w:r w:rsidR="00AC2B38" w:rsidRPr="00B823AC">
        <w:rPr>
          <w:rFonts w:ascii="Arial" w:hAnsi="Arial" w:cs="Arial"/>
          <w:sz w:val="22"/>
          <w:szCs w:val="22"/>
          <w:lang w:val="sq-AL"/>
        </w:rPr>
        <w:t>D</w:t>
      </w:r>
      <w:r w:rsidR="0056388B" w:rsidRPr="00B823AC">
        <w:rPr>
          <w:rFonts w:ascii="Arial" w:hAnsi="Arial" w:cs="Arial"/>
          <w:sz w:val="22"/>
          <w:szCs w:val="22"/>
          <w:lang w:val="sq-AL"/>
        </w:rPr>
        <w:t xml:space="preserve">RS </w:t>
      </w:r>
      <w:r w:rsidRPr="00B823AC">
        <w:rPr>
          <w:rFonts w:ascii="Arial" w:hAnsi="Arial" w:cs="Arial"/>
          <w:sz w:val="22"/>
          <w:szCs w:val="22"/>
          <w:lang w:val="sq-AL"/>
        </w:rPr>
        <w:t>(përafërsisht. 50</w:t>
      </w:r>
      <w:r w:rsidR="00AC2B38" w:rsidRPr="00B823AC">
        <w:rPr>
          <w:rFonts w:ascii="Arial" w:hAnsi="Arial" w:cs="Arial"/>
          <w:sz w:val="22"/>
          <w:szCs w:val="22"/>
          <w:lang w:val="sq-AL"/>
        </w:rPr>
        <w:t>,</w:t>
      </w:r>
      <w:r w:rsidRPr="00B823AC">
        <w:rPr>
          <w:rFonts w:ascii="Arial" w:hAnsi="Arial" w:cs="Arial"/>
          <w:sz w:val="22"/>
          <w:szCs w:val="22"/>
          <w:lang w:val="sq-AL"/>
        </w:rPr>
        <w:t>00 EUR</w:t>
      </w:r>
      <w:r w:rsidR="00AC2B38" w:rsidRPr="00B823AC">
        <w:rPr>
          <w:rFonts w:ascii="Arial" w:hAnsi="Arial" w:cs="Arial"/>
          <w:sz w:val="22"/>
          <w:szCs w:val="22"/>
          <w:lang w:val="sq-AL"/>
        </w:rPr>
        <w:t>O</w:t>
      </w:r>
      <w:r w:rsidRPr="00B823AC">
        <w:rPr>
          <w:rFonts w:ascii="Arial" w:hAnsi="Arial" w:cs="Arial"/>
          <w:sz w:val="22"/>
          <w:szCs w:val="22"/>
          <w:lang w:val="sq-AL"/>
        </w:rPr>
        <w:t>).</w:t>
      </w:r>
    </w:p>
    <w:p w:rsidR="00655F12" w:rsidRPr="00B823AC" w:rsidRDefault="00655F12" w:rsidP="00655F1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655F12" w:rsidRPr="00B823AC" w:rsidRDefault="00AC2B38" w:rsidP="00655F12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 xml:space="preserve">Më </w:t>
      </w:r>
      <w:r w:rsidR="00655F12" w:rsidRPr="00B823AC">
        <w:rPr>
          <w:rFonts w:ascii="Arial" w:hAnsi="Arial" w:cs="Arial"/>
          <w:sz w:val="22"/>
          <w:szCs w:val="22"/>
          <w:lang w:val="sq-AL"/>
        </w:rPr>
        <w:t xml:space="preserve">5 nëntor 2013, 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një </w:t>
      </w:r>
      <w:r w:rsidR="00655F12" w:rsidRPr="00B823AC">
        <w:rPr>
          <w:rFonts w:ascii="Arial" w:hAnsi="Arial" w:cs="Arial"/>
          <w:sz w:val="22"/>
          <w:szCs w:val="22"/>
          <w:lang w:val="sq-AL"/>
        </w:rPr>
        <w:t>gj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ykatës i </w:t>
      </w:r>
      <w:r w:rsidR="00655F12" w:rsidRPr="00B823AC">
        <w:rPr>
          <w:rFonts w:ascii="Arial" w:hAnsi="Arial" w:cs="Arial"/>
          <w:sz w:val="22"/>
          <w:szCs w:val="22"/>
          <w:lang w:val="sq-AL"/>
        </w:rPr>
        <w:t xml:space="preserve">EULEX-it 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në trupin gjykues </w:t>
      </w:r>
      <w:r w:rsidR="00655F12" w:rsidRPr="00B823AC">
        <w:rPr>
          <w:rFonts w:ascii="Arial" w:hAnsi="Arial" w:cs="Arial"/>
          <w:sz w:val="22"/>
          <w:szCs w:val="22"/>
          <w:lang w:val="sq-AL"/>
        </w:rPr>
        <w:t xml:space="preserve">në kuadër të </w:t>
      </w:r>
      <w:proofErr w:type="spellStart"/>
      <w:r w:rsidR="00655F12" w:rsidRPr="00B823AC">
        <w:rPr>
          <w:rFonts w:ascii="Arial" w:hAnsi="Arial" w:cs="Arial"/>
          <w:sz w:val="22"/>
          <w:szCs w:val="22"/>
          <w:lang w:val="sq-AL"/>
        </w:rPr>
        <w:t>D</w:t>
      </w:r>
      <w:r w:rsidR="0056388B" w:rsidRPr="00B823AC">
        <w:rPr>
          <w:rFonts w:ascii="Arial" w:hAnsi="Arial" w:cs="Arial"/>
          <w:sz w:val="22"/>
          <w:szCs w:val="22"/>
          <w:lang w:val="sq-AL"/>
        </w:rPr>
        <w:t>h</w:t>
      </w:r>
      <w:r w:rsidR="00655F12" w:rsidRPr="00B823AC">
        <w:rPr>
          <w:rFonts w:ascii="Arial" w:hAnsi="Arial" w:cs="Arial"/>
          <w:sz w:val="22"/>
          <w:szCs w:val="22"/>
          <w:lang w:val="sq-AL"/>
        </w:rPr>
        <w:t>PGJS</w:t>
      </w:r>
      <w:proofErr w:type="spellEnd"/>
      <w:r w:rsidR="00655F12" w:rsidRPr="00B823AC">
        <w:rPr>
          <w:rFonts w:ascii="Arial" w:hAnsi="Arial" w:cs="Arial"/>
          <w:sz w:val="22"/>
          <w:szCs w:val="22"/>
          <w:lang w:val="sq-AL"/>
        </w:rPr>
        <w:t>-së</w:t>
      </w:r>
      <w:r w:rsidR="0056388B" w:rsidRPr="00B823AC">
        <w:rPr>
          <w:rFonts w:ascii="Arial" w:hAnsi="Arial" w:cs="Arial"/>
          <w:sz w:val="22"/>
          <w:szCs w:val="22"/>
          <w:lang w:val="sq-AL"/>
        </w:rPr>
        <w:t xml:space="preserve"> 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ka </w:t>
      </w:r>
      <w:r w:rsidR="0078210C" w:rsidRPr="00B823AC">
        <w:rPr>
          <w:rFonts w:ascii="Arial" w:hAnsi="Arial" w:cs="Arial"/>
          <w:sz w:val="22"/>
          <w:szCs w:val="22"/>
          <w:lang w:val="sq-AL"/>
        </w:rPr>
        <w:t>hedhur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 </w:t>
      </w:r>
      <w:r w:rsidR="00655F12" w:rsidRPr="00B823AC">
        <w:rPr>
          <w:rFonts w:ascii="Arial" w:hAnsi="Arial" w:cs="Arial"/>
          <w:sz w:val="22"/>
          <w:szCs w:val="22"/>
          <w:lang w:val="sq-AL"/>
        </w:rPr>
        <w:t xml:space="preserve">poshtë kërkesën e ankuesit. Arsyetimi i vendimit nuk përmban ndonjë referencë </w:t>
      </w:r>
      <w:r w:rsidR="00B81F77" w:rsidRPr="00B823AC">
        <w:rPr>
          <w:rFonts w:ascii="Arial" w:hAnsi="Arial" w:cs="Arial"/>
          <w:sz w:val="22"/>
          <w:szCs w:val="22"/>
          <w:lang w:val="sq-AL"/>
        </w:rPr>
        <w:t>rreth f</w:t>
      </w:r>
      <w:r w:rsidR="00655F12" w:rsidRPr="00B823AC">
        <w:rPr>
          <w:rFonts w:ascii="Arial" w:hAnsi="Arial" w:cs="Arial"/>
          <w:sz w:val="22"/>
          <w:szCs w:val="22"/>
          <w:lang w:val="sq-AL"/>
        </w:rPr>
        <w:t>akte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ve të </w:t>
      </w:r>
      <w:r w:rsidR="00655F12" w:rsidRPr="00B823AC">
        <w:rPr>
          <w:rFonts w:ascii="Arial" w:hAnsi="Arial" w:cs="Arial"/>
          <w:sz w:val="22"/>
          <w:szCs w:val="22"/>
          <w:lang w:val="sq-AL"/>
        </w:rPr>
        <w:t>paraqitura nga ankuesi, as nuk ofro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n </w:t>
      </w:r>
      <w:r w:rsidR="00655F12" w:rsidRPr="00B823AC">
        <w:rPr>
          <w:rFonts w:ascii="Arial" w:hAnsi="Arial" w:cs="Arial"/>
          <w:sz w:val="22"/>
          <w:szCs w:val="22"/>
          <w:lang w:val="sq-AL"/>
        </w:rPr>
        <w:t xml:space="preserve">ndonjë arsyetim 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rreth </w:t>
      </w:r>
      <w:r w:rsidR="00655F12" w:rsidRPr="00B823AC">
        <w:rPr>
          <w:rFonts w:ascii="Arial" w:hAnsi="Arial" w:cs="Arial"/>
          <w:sz w:val="22"/>
          <w:szCs w:val="22"/>
          <w:lang w:val="sq-AL"/>
        </w:rPr>
        <w:t>vendimi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t. Aty </w:t>
      </w:r>
      <w:r w:rsidR="00655F12" w:rsidRPr="00B823AC">
        <w:rPr>
          <w:rFonts w:ascii="Arial" w:hAnsi="Arial" w:cs="Arial"/>
          <w:sz w:val="22"/>
          <w:szCs w:val="22"/>
          <w:lang w:val="sq-AL"/>
        </w:rPr>
        <w:t>vetëm th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uhet se </w:t>
      </w:r>
      <w:r w:rsidR="00655F12" w:rsidRPr="00B823AC">
        <w:rPr>
          <w:rFonts w:ascii="Arial" w:hAnsi="Arial" w:cs="Arial"/>
          <w:sz w:val="22"/>
          <w:szCs w:val="22"/>
          <w:lang w:val="sq-AL"/>
        </w:rPr>
        <w:t xml:space="preserve">në bazë të </w:t>
      </w:r>
      <w:r w:rsidR="00B81F77" w:rsidRPr="00B823AC">
        <w:rPr>
          <w:rFonts w:ascii="Arial" w:hAnsi="Arial" w:cs="Arial"/>
          <w:sz w:val="22"/>
          <w:szCs w:val="22"/>
          <w:lang w:val="sq-AL"/>
        </w:rPr>
        <w:t>“</w:t>
      </w:r>
      <w:r w:rsidR="00655F12" w:rsidRPr="00B823AC">
        <w:rPr>
          <w:rFonts w:ascii="Arial" w:hAnsi="Arial" w:cs="Arial"/>
          <w:sz w:val="22"/>
          <w:szCs w:val="22"/>
          <w:lang w:val="sq-AL"/>
        </w:rPr>
        <w:t>nenit 25</w:t>
      </w:r>
      <w:r w:rsidR="0056388B" w:rsidRPr="00B823AC">
        <w:rPr>
          <w:rFonts w:ascii="Arial" w:hAnsi="Arial" w:cs="Arial"/>
          <w:sz w:val="22"/>
          <w:szCs w:val="22"/>
          <w:lang w:val="sq-AL"/>
        </w:rPr>
        <w:t>.</w:t>
      </w:r>
      <w:r w:rsidR="00655F12" w:rsidRPr="00B823AC">
        <w:rPr>
          <w:rFonts w:ascii="Arial" w:hAnsi="Arial" w:cs="Arial"/>
          <w:sz w:val="22"/>
          <w:szCs w:val="22"/>
          <w:lang w:val="sq-AL"/>
        </w:rPr>
        <w:t>10, aneksin e Ligjit Nr.04/L-</w:t>
      </w:r>
      <w:r w:rsidR="00655F12" w:rsidRPr="00B823AC">
        <w:rPr>
          <w:rFonts w:ascii="Arial" w:hAnsi="Arial" w:cs="Arial"/>
          <w:sz w:val="22"/>
          <w:szCs w:val="22"/>
          <w:lang w:val="sq-AL"/>
        </w:rPr>
        <w:lastRenderedPageBreak/>
        <w:t>33 për Dhomën e Posaçme të Gjykatës Supreme të Kosovës për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 çështjet që lidhen me </w:t>
      </w:r>
      <w:r w:rsidR="00655F12" w:rsidRPr="00B823AC">
        <w:rPr>
          <w:rFonts w:ascii="Arial" w:hAnsi="Arial" w:cs="Arial"/>
          <w:sz w:val="22"/>
          <w:szCs w:val="22"/>
          <w:lang w:val="sq-AL"/>
        </w:rPr>
        <w:t>Agjencinë Kosovare të Privatizimi</w:t>
      </w:r>
      <w:r w:rsidR="00B81F77" w:rsidRPr="00B823AC">
        <w:rPr>
          <w:rFonts w:ascii="Arial" w:hAnsi="Arial" w:cs="Arial"/>
          <w:sz w:val="22"/>
          <w:szCs w:val="22"/>
          <w:lang w:val="sq-AL"/>
        </w:rPr>
        <w:t>t, p</w:t>
      </w:r>
      <w:r w:rsidR="00655F12" w:rsidRPr="00B823AC">
        <w:rPr>
          <w:rFonts w:ascii="Arial" w:hAnsi="Arial" w:cs="Arial"/>
          <w:sz w:val="22"/>
          <w:szCs w:val="22"/>
          <w:lang w:val="sq-AL"/>
        </w:rPr>
        <w:t>ërkthim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i i </w:t>
      </w:r>
      <w:r w:rsidR="00655F12" w:rsidRPr="00B823AC">
        <w:rPr>
          <w:rFonts w:ascii="Arial" w:hAnsi="Arial" w:cs="Arial"/>
          <w:sz w:val="22"/>
          <w:szCs w:val="22"/>
          <w:lang w:val="sq-AL"/>
        </w:rPr>
        <w:t xml:space="preserve">parashtresave dhe dokumenteve përcjellëse është 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marrë </w:t>
      </w:r>
      <w:r w:rsidR="00655F12" w:rsidRPr="00B823AC">
        <w:rPr>
          <w:rFonts w:ascii="Arial" w:hAnsi="Arial" w:cs="Arial"/>
          <w:sz w:val="22"/>
          <w:szCs w:val="22"/>
          <w:lang w:val="sq-AL"/>
        </w:rPr>
        <w:t>nga Dhoma e P</w:t>
      </w:r>
      <w:r w:rsidR="0098369A" w:rsidRPr="00B823AC">
        <w:rPr>
          <w:rFonts w:ascii="Arial" w:hAnsi="Arial" w:cs="Arial"/>
          <w:sz w:val="22"/>
          <w:szCs w:val="22"/>
          <w:lang w:val="sq-AL"/>
        </w:rPr>
        <w:t>osaçme me shpenzime</w:t>
      </w:r>
      <w:r w:rsidR="00610ADC" w:rsidRPr="00B823AC">
        <w:rPr>
          <w:rFonts w:ascii="Arial" w:hAnsi="Arial" w:cs="Arial"/>
          <w:sz w:val="22"/>
          <w:szCs w:val="22"/>
          <w:lang w:val="sq-AL"/>
        </w:rPr>
        <w:t>t e ankuesit</w:t>
      </w:r>
      <w:r w:rsidR="00B81F77" w:rsidRPr="00B823AC">
        <w:rPr>
          <w:rFonts w:ascii="Arial" w:hAnsi="Arial" w:cs="Arial"/>
          <w:sz w:val="22"/>
          <w:szCs w:val="22"/>
          <w:lang w:val="sq-AL"/>
        </w:rPr>
        <w:t>”.</w:t>
      </w:r>
    </w:p>
    <w:p w:rsidR="00655F12" w:rsidRPr="00B823AC" w:rsidRDefault="00655F12" w:rsidP="00655F12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655F12" w:rsidRPr="00B823AC" w:rsidRDefault="00655F12" w:rsidP="00655F12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Ankuesi ka parashtruar ankesë kundër vendimit të mësipërm</w:t>
      </w:r>
      <w:r w:rsidR="00B81F77" w:rsidRPr="00B823AC">
        <w:rPr>
          <w:rFonts w:ascii="Arial" w:hAnsi="Arial" w:cs="Arial"/>
          <w:sz w:val="22"/>
          <w:szCs w:val="22"/>
          <w:lang w:val="sq-AL"/>
        </w:rPr>
        <w:t xml:space="preserve">, </w:t>
      </w:r>
      <w:r w:rsidRPr="00B823AC">
        <w:rPr>
          <w:rFonts w:ascii="Arial" w:hAnsi="Arial" w:cs="Arial"/>
          <w:sz w:val="22"/>
          <w:szCs w:val="22"/>
          <w:lang w:val="sq-AL"/>
        </w:rPr>
        <w:t xml:space="preserve">i cili me sa duket ende nuk është shqyrtuar nga </w:t>
      </w:r>
      <w:proofErr w:type="spellStart"/>
      <w:r w:rsidRPr="00B823AC">
        <w:rPr>
          <w:rFonts w:ascii="Arial" w:hAnsi="Arial" w:cs="Arial"/>
          <w:sz w:val="22"/>
          <w:szCs w:val="22"/>
          <w:lang w:val="sq-AL"/>
        </w:rPr>
        <w:t>D</w:t>
      </w:r>
      <w:r w:rsidR="00F77A79" w:rsidRPr="00B823AC">
        <w:rPr>
          <w:rFonts w:ascii="Arial" w:hAnsi="Arial" w:cs="Arial"/>
          <w:sz w:val="22"/>
          <w:szCs w:val="22"/>
          <w:lang w:val="sq-AL"/>
        </w:rPr>
        <w:t>h</w:t>
      </w:r>
      <w:r w:rsidRPr="00B823AC">
        <w:rPr>
          <w:rFonts w:ascii="Arial" w:hAnsi="Arial" w:cs="Arial"/>
          <w:sz w:val="22"/>
          <w:szCs w:val="22"/>
          <w:lang w:val="sq-AL"/>
        </w:rPr>
        <w:t>PGJS</w:t>
      </w:r>
      <w:proofErr w:type="spellEnd"/>
      <w:r w:rsidR="00B81F77" w:rsidRPr="00B823AC">
        <w:rPr>
          <w:rFonts w:ascii="Arial" w:hAnsi="Arial" w:cs="Arial"/>
          <w:sz w:val="22"/>
          <w:szCs w:val="22"/>
          <w:lang w:val="sq-AL"/>
        </w:rPr>
        <w:t>-ja.</w:t>
      </w:r>
    </w:p>
    <w:p w:rsidR="00655F12" w:rsidRPr="00B823AC" w:rsidRDefault="00655F12" w:rsidP="00655F12">
      <w:pPr>
        <w:pStyle w:val="ListParagrap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B81F77" w:rsidP="00655F12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>Lënd</w:t>
      </w:r>
      <w:r w:rsidR="00A62F84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është ende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e pazgjidhur pranë </w:t>
      </w:r>
      <w:proofErr w:type="spellStart"/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F77A79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PGJS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>-së.</w:t>
      </w:r>
    </w:p>
    <w:p w:rsidR="00655F12" w:rsidRPr="00B823AC" w:rsidRDefault="00655F12" w:rsidP="00655F12">
      <w:pPr>
        <w:pStyle w:val="ListParagrap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55F12">
      <w:pPr>
        <w:pStyle w:val="ListParagraph"/>
        <w:rPr>
          <w:rFonts w:ascii="Arial" w:hAnsi="Arial" w:cs="Arial"/>
          <w:bCs/>
          <w:sz w:val="22"/>
          <w:szCs w:val="22"/>
          <w:lang w:val="sq-AL"/>
        </w:rPr>
      </w:pPr>
    </w:p>
    <w:p w:rsidR="00A70270" w:rsidRPr="00B823AC" w:rsidRDefault="00B81F77" w:rsidP="00C377C4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ANKESAT</w:t>
      </w: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B81F77" w:rsidRPr="00B823AC" w:rsidRDefault="00B81F77" w:rsidP="006754B5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754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Ankuesi pretendon </w:t>
      </w:r>
      <w:r w:rsidR="00CA6F05" w:rsidRPr="00B823AC">
        <w:rPr>
          <w:rFonts w:ascii="Arial" w:hAnsi="Arial" w:cs="Arial"/>
          <w:bCs/>
          <w:sz w:val="22"/>
          <w:szCs w:val="22"/>
          <w:lang w:val="sq-AL"/>
        </w:rPr>
        <w:t xml:space="preserve">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shkelje të Konventës Evropiane të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të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Drejtave të Njeriut dhe Lirive Themelore (Konventa) dhe </w:t>
      </w:r>
      <w:r w:rsidR="00CA6F05" w:rsidRPr="00B823AC">
        <w:rPr>
          <w:rFonts w:ascii="Arial" w:hAnsi="Arial" w:cs="Arial"/>
          <w:bCs/>
          <w:sz w:val="22"/>
          <w:szCs w:val="22"/>
          <w:lang w:val="sq-AL"/>
        </w:rPr>
        <w:t xml:space="preserve">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Deklaratës Universale për të Drejtat e Njeriut (Deklarat</w:t>
      </w:r>
      <w:r w:rsidR="00CA6F05" w:rsidRPr="00B823AC">
        <w:rPr>
          <w:rFonts w:ascii="Arial" w:hAnsi="Arial" w:cs="Arial"/>
          <w:bCs/>
          <w:sz w:val="22"/>
          <w:szCs w:val="22"/>
          <w:lang w:val="sq-AL"/>
        </w:rPr>
        <w:t>a</w:t>
      </w:r>
      <w:r w:rsidRPr="00B823AC">
        <w:rPr>
          <w:rFonts w:ascii="Arial" w:hAnsi="Arial" w:cs="Arial"/>
          <w:bCs/>
          <w:sz w:val="22"/>
          <w:szCs w:val="22"/>
          <w:lang w:val="sq-AL"/>
        </w:rPr>
        <w:t>):</w:t>
      </w:r>
    </w:p>
    <w:p w:rsidR="00655F12" w:rsidRPr="00B823AC" w:rsidRDefault="00655F12" w:rsidP="006754B5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C667EF">
      <w:pPr>
        <w:ind w:left="720" w:hanging="720"/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- </w:t>
      </w:r>
      <w:r w:rsidR="00C667EF" w:rsidRPr="00B823AC">
        <w:rPr>
          <w:rFonts w:ascii="Arial" w:hAnsi="Arial" w:cs="Arial"/>
          <w:bCs/>
          <w:sz w:val="22"/>
          <w:szCs w:val="22"/>
          <w:lang w:val="sq-AL"/>
        </w:rPr>
        <w:tab/>
      </w:r>
      <w:r w:rsidRPr="00B823AC">
        <w:rPr>
          <w:rFonts w:ascii="Arial" w:hAnsi="Arial" w:cs="Arial"/>
          <w:bCs/>
          <w:sz w:val="22"/>
          <w:szCs w:val="22"/>
          <w:lang w:val="sq-AL"/>
        </w:rPr>
        <w:t>Neni 6 i Konventës dhe neni 10 i Deklaratës (</w:t>
      </w:r>
      <w:r w:rsidR="004E1BCC" w:rsidRPr="00B823AC">
        <w:rPr>
          <w:rFonts w:ascii="Arial" w:hAnsi="Arial" w:cs="Arial"/>
          <w:bCs/>
          <w:sz w:val="22"/>
          <w:szCs w:val="22"/>
          <w:lang w:val="sq-AL"/>
        </w:rPr>
        <w:t xml:space="preserve">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drejt</w:t>
      </w:r>
      <w:r w:rsidR="004E1BCC" w:rsidRPr="00B823AC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për gjykim të drejtë, në </w:t>
      </w:r>
      <w:r w:rsidR="004E1BCC" w:rsidRPr="00B823AC">
        <w:rPr>
          <w:rFonts w:ascii="Arial" w:hAnsi="Arial" w:cs="Arial"/>
          <w:bCs/>
          <w:sz w:val="22"/>
          <w:szCs w:val="22"/>
          <w:lang w:val="sq-AL"/>
        </w:rPr>
        <w:t xml:space="preserve">veçanti 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drejt</w:t>
      </w:r>
      <w:r w:rsidR="004E1BCC" w:rsidRPr="00B823AC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për qasje në gjykatë). Ankuesi pohon se tarifat </w:t>
      </w:r>
      <w:r w:rsidR="0035075C" w:rsidRPr="00B823AC">
        <w:rPr>
          <w:rFonts w:ascii="Arial" w:hAnsi="Arial" w:cs="Arial"/>
          <w:bCs/>
          <w:sz w:val="22"/>
          <w:szCs w:val="22"/>
          <w:lang w:val="sq-AL"/>
        </w:rPr>
        <w:t xml:space="preserve">shumë të larta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gjyqësore dhe shpenzimet e përkthimit </w:t>
      </w:r>
      <w:r w:rsidR="004E1BCC" w:rsidRPr="00B823AC">
        <w:rPr>
          <w:rFonts w:ascii="Arial" w:hAnsi="Arial" w:cs="Arial"/>
          <w:bCs/>
          <w:sz w:val="22"/>
          <w:szCs w:val="22"/>
          <w:lang w:val="sq-AL"/>
        </w:rPr>
        <w:t xml:space="preserve">shkelin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qasjen e tij të drejtë në gjykatë. Për më tepër, vendim</w:t>
      </w:r>
      <w:r w:rsidR="00D023FA">
        <w:rPr>
          <w:rFonts w:ascii="Arial" w:hAnsi="Arial" w:cs="Arial"/>
          <w:bCs/>
          <w:sz w:val="22"/>
          <w:szCs w:val="22"/>
          <w:lang w:val="sq-AL"/>
        </w:rPr>
        <w:t>i që i ka m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ohuar atij përjashtimin nga taksat gjyqësore dhe shpenzimet e përkthimit </w:t>
      </w:r>
      <w:r w:rsidR="004E1BCC" w:rsidRPr="00B823AC">
        <w:rPr>
          <w:rFonts w:ascii="Arial" w:hAnsi="Arial" w:cs="Arial"/>
          <w:bCs/>
          <w:sz w:val="22"/>
          <w:szCs w:val="22"/>
          <w:lang w:val="sq-AL"/>
        </w:rPr>
        <w:t xml:space="preserve">nuk kanë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dhënë asnjë </w:t>
      </w:r>
      <w:r w:rsidR="004E1BCC" w:rsidRPr="00B823AC">
        <w:rPr>
          <w:rFonts w:ascii="Arial" w:hAnsi="Arial" w:cs="Arial"/>
          <w:bCs/>
          <w:sz w:val="22"/>
          <w:szCs w:val="22"/>
          <w:lang w:val="sq-AL"/>
        </w:rPr>
        <w:t>arsyetim</w:t>
      </w:r>
      <w:r w:rsidR="00D023FA">
        <w:rPr>
          <w:rFonts w:ascii="Arial" w:hAnsi="Arial" w:cs="Arial"/>
          <w:bCs/>
          <w:sz w:val="22"/>
          <w:szCs w:val="22"/>
          <w:lang w:val="sq-AL"/>
        </w:rPr>
        <w:t xml:space="preserve">, kështu që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në këtë mënyrë janë shkelur të drejtën e tij për një vendim të a</w:t>
      </w:r>
      <w:r w:rsidR="0035075C" w:rsidRPr="00B823AC">
        <w:rPr>
          <w:rFonts w:ascii="Arial" w:hAnsi="Arial" w:cs="Arial"/>
          <w:bCs/>
          <w:sz w:val="22"/>
          <w:szCs w:val="22"/>
          <w:lang w:val="sq-AL"/>
        </w:rPr>
        <w:t>rsyeshëm;</w:t>
      </w:r>
    </w:p>
    <w:p w:rsidR="00655F12" w:rsidRPr="00B823AC" w:rsidRDefault="00655F12" w:rsidP="00C667EF">
      <w:pPr>
        <w:ind w:left="720" w:hanging="720"/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>-</w:t>
      </w:r>
      <w:r w:rsidR="00C667EF" w:rsidRPr="00B823AC">
        <w:rPr>
          <w:rFonts w:ascii="Arial" w:hAnsi="Arial" w:cs="Arial"/>
          <w:bCs/>
          <w:sz w:val="22"/>
          <w:szCs w:val="22"/>
          <w:lang w:val="sq-AL"/>
        </w:rPr>
        <w:tab/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Neni 13 i Konventës dhe nenit 32 </w:t>
      </w:r>
      <w:r w:rsidR="00C377C4" w:rsidRPr="00B823AC">
        <w:rPr>
          <w:rFonts w:ascii="Arial" w:hAnsi="Arial" w:cs="Arial"/>
          <w:bCs/>
          <w:sz w:val="22"/>
          <w:szCs w:val="22"/>
          <w:lang w:val="sq-AL"/>
        </w:rPr>
        <w:t xml:space="preserve">i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Deklaratës (</w:t>
      </w:r>
      <w:r w:rsidR="00C377C4" w:rsidRPr="00B823AC">
        <w:rPr>
          <w:rFonts w:ascii="Arial" w:hAnsi="Arial" w:cs="Arial"/>
          <w:bCs/>
          <w:sz w:val="22"/>
          <w:szCs w:val="22"/>
          <w:lang w:val="sq-AL"/>
        </w:rPr>
        <w:t xml:space="preserve">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drejt</w:t>
      </w:r>
      <w:r w:rsidR="00C377C4" w:rsidRPr="00B823AC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për një zgjidhje efektive). Ankuesi pohon se nuk </w:t>
      </w:r>
      <w:r w:rsidR="00C377C4" w:rsidRPr="00B823AC">
        <w:rPr>
          <w:rFonts w:ascii="Arial" w:hAnsi="Arial" w:cs="Arial"/>
          <w:bCs/>
          <w:sz w:val="22"/>
          <w:szCs w:val="22"/>
          <w:lang w:val="sq-AL"/>
        </w:rPr>
        <w:t xml:space="preserve">mund të ketë ankesa ndaj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vendimit të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A267DA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PGJS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>-së dhe kjo përbën shkelje të së drejtës së tij për një zgjidhje efektive;</w:t>
      </w:r>
    </w:p>
    <w:p w:rsidR="00655F12" w:rsidRPr="00B823AC" w:rsidRDefault="00655F12" w:rsidP="00C667EF">
      <w:pPr>
        <w:ind w:left="720" w:hanging="720"/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>-</w:t>
      </w:r>
      <w:r w:rsidR="00C667EF" w:rsidRPr="00B823AC">
        <w:rPr>
          <w:rFonts w:ascii="Arial" w:hAnsi="Arial" w:cs="Arial"/>
          <w:bCs/>
          <w:sz w:val="22"/>
          <w:szCs w:val="22"/>
          <w:lang w:val="sq-AL"/>
        </w:rPr>
        <w:tab/>
      </w:r>
      <w:r w:rsidRPr="00B823AC">
        <w:rPr>
          <w:rFonts w:ascii="Arial" w:hAnsi="Arial" w:cs="Arial"/>
          <w:bCs/>
          <w:sz w:val="22"/>
          <w:szCs w:val="22"/>
          <w:lang w:val="sq-AL"/>
        </w:rPr>
        <w:t>Neni 14 i Konventës dhe neni 2 i Deklaratës (</w:t>
      </w:r>
      <w:r w:rsidR="00C377C4" w:rsidRPr="00B823AC">
        <w:rPr>
          <w:rFonts w:ascii="Arial" w:hAnsi="Arial" w:cs="Arial"/>
          <w:bCs/>
          <w:sz w:val="22"/>
          <w:szCs w:val="22"/>
          <w:lang w:val="sq-AL"/>
        </w:rPr>
        <w:t xml:space="preserve">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drejt</w:t>
      </w:r>
      <w:r w:rsidR="00C377C4" w:rsidRPr="00B823AC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për barazi para ligjit dhe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mosdiskrimini</w:t>
      </w:r>
      <w:r w:rsidR="00C377C4" w:rsidRPr="00B823AC">
        <w:rPr>
          <w:rFonts w:ascii="Arial" w:hAnsi="Arial" w:cs="Arial"/>
          <w:bCs/>
          <w:sz w:val="22"/>
          <w:szCs w:val="22"/>
          <w:lang w:val="sq-AL"/>
        </w:rPr>
        <w:t>m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>). Ankuesi pretendon se ai ishte diskriminuar mbi baza etnike, sepse ai është i përkatësisë etnike serbe.</w:t>
      </w: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C377C4" w:rsidP="00C377C4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L</w:t>
      </w:r>
      <w:r w:rsidR="00655F12"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IGJI </w:t>
      </w:r>
      <w:r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PËRKATËS </w:t>
      </w:r>
      <w:r w:rsidR="00655F12"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NË FUQI </w:t>
      </w: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B6094B">
      <w:pPr>
        <w:jc w:val="center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B6094B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SHTOJCA </w:t>
      </w:r>
      <w:r w:rsidR="00B6094B"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E </w:t>
      </w:r>
      <w:r w:rsidRPr="00B823AC">
        <w:rPr>
          <w:rFonts w:ascii="Arial" w:hAnsi="Arial" w:cs="Arial"/>
          <w:b/>
          <w:bCs/>
          <w:sz w:val="22"/>
          <w:szCs w:val="22"/>
          <w:lang w:val="sq-AL"/>
        </w:rPr>
        <w:t>LIGJIT Nr.04/L-033</w:t>
      </w:r>
    </w:p>
    <w:p w:rsidR="00655F12" w:rsidRPr="00B823AC" w:rsidRDefault="00655F12" w:rsidP="00B6094B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E DHOMËS SË POSAÇME TË GJYKATËS SUPREME TË KOSOVËS</w:t>
      </w:r>
      <w:r w:rsidR="000D26B6"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 LIDHUR ME </w:t>
      </w:r>
      <w:r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ÇËSHTJET </w:t>
      </w:r>
      <w:r w:rsidR="000D26B6" w:rsidRPr="00B823AC">
        <w:rPr>
          <w:rFonts w:ascii="Arial" w:hAnsi="Arial" w:cs="Arial"/>
          <w:b/>
          <w:bCs/>
          <w:sz w:val="22"/>
          <w:szCs w:val="22"/>
          <w:lang w:val="sq-AL"/>
        </w:rPr>
        <w:t>E AGJENCISË KOSOVARE TË PRIVATIZIMIT</w:t>
      </w:r>
    </w:p>
    <w:p w:rsidR="00655F12" w:rsidRPr="00B823AC" w:rsidRDefault="00655F12" w:rsidP="00B6094B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655F12" w:rsidRPr="00B823AC" w:rsidRDefault="00655F12" w:rsidP="00B6094B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RREGULL</w:t>
      </w:r>
      <w:r w:rsidR="000D26B6"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ORJA E PUNËS E </w:t>
      </w:r>
      <w:r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DHOMËS SË POSAÇME TË GJYKATËS SUPREME TË KOSOVËS PËR ÇËSHTJET </w:t>
      </w:r>
      <w:r w:rsidR="000D26B6" w:rsidRPr="00B823AC">
        <w:rPr>
          <w:rFonts w:ascii="Arial" w:hAnsi="Arial" w:cs="Arial"/>
          <w:b/>
          <w:bCs/>
          <w:sz w:val="22"/>
          <w:szCs w:val="22"/>
          <w:lang w:val="sq-AL"/>
        </w:rPr>
        <w:t>QË LIDHEN ME AGJENCISË KOSOVARE TË PRIVATIZIMIT</w:t>
      </w:r>
    </w:p>
    <w:p w:rsidR="00655F12" w:rsidRPr="00B823AC" w:rsidRDefault="00655F12" w:rsidP="00B6094B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(</w:t>
      </w:r>
      <w:r w:rsidR="000D26B6" w:rsidRPr="00B823AC">
        <w:rPr>
          <w:rFonts w:ascii="Arial" w:hAnsi="Arial" w:cs="Arial"/>
          <w:b/>
          <w:bCs/>
          <w:i/>
          <w:sz w:val="22"/>
          <w:szCs w:val="22"/>
          <w:lang w:val="sq-AL"/>
        </w:rPr>
        <w:t xml:space="preserve">siç </w:t>
      </w:r>
      <w:r w:rsidRPr="00B823AC">
        <w:rPr>
          <w:rFonts w:ascii="Arial" w:hAnsi="Arial" w:cs="Arial"/>
          <w:b/>
          <w:bCs/>
          <w:i/>
          <w:sz w:val="22"/>
          <w:szCs w:val="22"/>
          <w:lang w:val="sq-AL"/>
        </w:rPr>
        <w:t>zbat</w:t>
      </w:r>
      <w:r w:rsidR="000D26B6" w:rsidRPr="00B823AC">
        <w:rPr>
          <w:rFonts w:ascii="Arial" w:hAnsi="Arial" w:cs="Arial"/>
          <w:b/>
          <w:bCs/>
          <w:i/>
          <w:sz w:val="22"/>
          <w:szCs w:val="22"/>
          <w:lang w:val="sq-AL"/>
        </w:rPr>
        <w:t xml:space="preserve">ohet </w:t>
      </w:r>
      <w:r w:rsidRPr="00B823AC">
        <w:rPr>
          <w:rFonts w:ascii="Arial" w:hAnsi="Arial" w:cs="Arial"/>
          <w:b/>
          <w:bCs/>
          <w:i/>
          <w:sz w:val="22"/>
          <w:szCs w:val="22"/>
          <w:lang w:val="sq-AL"/>
        </w:rPr>
        <w:t>në atë kohë</w:t>
      </w:r>
      <w:r w:rsidRPr="00B823AC">
        <w:rPr>
          <w:rFonts w:ascii="Arial" w:hAnsi="Arial" w:cs="Arial"/>
          <w:b/>
          <w:bCs/>
          <w:sz w:val="22"/>
          <w:szCs w:val="22"/>
          <w:lang w:val="sq-AL"/>
        </w:rPr>
        <w:t>)</w:t>
      </w:r>
    </w:p>
    <w:p w:rsidR="00655F12" w:rsidRPr="00B823AC" w:rsidRDefault="00655F12" w:rsidP="00B6094B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B10F6F" w:rsidRPr="00B823AC" w:rsidRDefault="00655F12" w:rsidP="00B6094B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Neni 25</w:t>
      </w:r>
    </w:p>
    <w:p w:rsidR="00655F12" w:rsidRPr="00B823AC" w:rsidRDefault="00B10F6F" w:rsidP="00B6094B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Parashtrimi i lutjeve</w:t>
      </w: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>... ..</w:t>
      </w: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B10F6F" w:rsidRPr="00B823AC" w:rsidRDefault="00655F12" w:rsidP="00F129EF">
      <w:pPr>
        <w:jc w:val="both"/>
        <w:rPr>
          <w:rFonts w:ascii="Arial" w:hAnsi="Arial" w:cs="Arial"/>
          <w:bCs/>
          <w:sz w:val="20"/>
          <w:szCs w:val="20"/>
          <w:lang w:val="sq-AL"/>
        </w:rPr>
      </w:pPr>
      <w:r w:rsidRPr="00B823AC">
        <w:rPr>
          <w:rFonts w:ascii="Arial" w:hAnsi="Arial" w:cs="Arial"/>
          <w:bCs/>
          <w:sz w:val="20"/>
          <w:szCs w:val="20"/>
          <w:lang w:val="sq-AL"/>
        </w:rPr>
        <w:lastRenderedPageBreak/>
        <w:t xml:space="preserve">8. </w:t>
      </w:r>
      <w:r w:rsidR="00B10F6F" w:rsidRPr="00B823AC">
        <w:rPr>
          <w:rFonts w:ascii="Arial" w:hAnsi="Arial" w:cs="Arial"/>
          <w:bCs/>
          <w:sz w:val="20"/>
          <w:szCs w:val="20"/>
          <w:lang w:val="sq-AL"/>
        </w:rPr>
        <w:t xml:space="preserve">Lutjet dhe dokumentet përcjellëse mund të paraqiten ose në gjuhën </w:t>
      </w:r>
      <w:r w:rsidR="002F3844" w:rsidRPr="00B823AC">
        <w:rPr>
          <w:rFonts w:ascii="Arial" w:hAnsi="Arial" w:cs="Arial"/>
          <w:bCs/>
          <w:sz w:val="20"/>
          <w:szCs w:val="20"/>
          <w:lang w:val="sq-AL"/>
        </w:rPr>
        <w:t>s</w:t>
      </w:r>
      <w:r w:rsidR="00B10F6F" w:rsidRPr="00B823AC">
        <w:rPr>
          <w:rFonts w:ascii="Arial" w:hAnsi="Arial" w:cs="Arial"/>
          <w:bCs/>
          <w:sz w:val="20"/>
          <w:szCs w:val="20"/>
          <w:lang w:val="sq-AL"/>
        </w:rPr>
        <w:t xml:space="preserve">hqipe ose në gjuhën </w:t>
      </w:r>
      <w:r w:rsidR="002F3844" w:rsidRPr="00B823AC">
        <w:rPr>
          <w:rFonts w:ascii="Arial" w:hAnsi="Arial" w:cs="Arial"/>
          <w:bCs/>
          <w:sz w:val="20"/>
          <w:szCs w:val="20"/>
          <w:lang w:val="sq-AL"/>
        </w:rPr>
        <w:t>s</w:t>
      </w:r>
      <w:r w:rsidR="00B10F6F" w:rsidRPr="00B823AC">
        <w:rPr>
          <w:rFonts w:ascii="Arial" w:hAnsi="Arial" w:cs="Arial"/>
          <w:bCs/>
          <w:sz w:val="20"/>
          <w:szCs w:val="20"/>
          <w:lang w:val="sq-AL"/>
        </w:rPr>
        <w:t xml:space="preserve">erbe dhe duhet të shoqërohen nga një përkthim në gjuhën </w:t>
      </w:r>
      <w:r w:rsidR="002F3844" w:rsidRPr="00B823AC">
        <w:rPr>
          <w:rFonts w:ascii="Arial" w:hAnsi="Arial" w:cs="Arial"/>
          <w:bCs/>
          <w:sz w:val="20"/>
          <w:szCs w:val="20"/>
          <w:lang w:val="sq-AL"/>
        </w:rPr>
        <w:t>a</w:t>
      </w:r>
      <w:r w:rsidR="00B10F6F" w:rsidRPr="00B823AC">
        <w:rPr>
          <w:rFonts w:ascii="Arial" w:hAnsi="Arial" w:cs="Arial"/>
          <w:bCs/>
          <w:sz w:val="20"/>
          <w:szCs w:val="20"/>
          <w:lang w:val="sq-AL"/>
        </w:rPr>
        <w:t xml:space="preserve">ngleze. Shpenzimet e përkthimit i </w:t>
      </w:r>
      <w:r w:rsidR="002F3844" w:rsidRPr="00B823AC">
        <w:rPr>
          <w:rFonts w:ascii="Arial" w:hAnsi="Arial" w:cs="Arial"/>
          <w:bCs/>
          <w:sz w:val="20"/>
          <w:szCs w:val="20"/>
          <w:lang w:val="sq-AL"/>
        </w:rPr>
        <w:t xml:space="preserve">bartë </w:t>
      </w:r>
      <w:r w:rsidR="00B10F6F" w:rsidRPr="00B823AC">
        <w:rPr>
          <w:rFonts w:ascii="Arial" w:hAnsi="Arial" w:cs="Arial"/>
          <w:bCs/>
          <w:sz w:val="20"/>
          <w:szCs w:val="20"/>
          <w:lang w:val="sq-AL"/>
        </w:rPr>
        <w:t>pala që dorëzon atë lutje dhe ato dokumente.</w:t>
      </w:r>
    </w:p>
    <w:p w:rsidR="00B10F6F" w:rsidRPr="00B823AC" w:rsidRDefault="00B10F6F" w:rsidP="00F129EF">
      <w:pPr>
        <w:jc w:val="both"/>
        <w:rPr>
          <w:rFonts w:ascii="Arial" w:hAnsi="Arial" w:cs="Arial"/>
          <w:bCs/>
          <w:sz w:val="20"/>
          <w:szCs w:val="20"/>
          <w:lang w:val="sq-AL"/>
        </w:rPr>
      </w:pPr>
      <w:r w:rsidRPr="00B823AC">
        <w:rPr>
          <w:rFonts w:ascii="Arial" w:hAnsi="Arial" w:cs="Arial"/>
          <w:bCs/>
          <w:sz w:val="20"/>
          <w:szCs w:val="20"/>
          <w:lang w:val="sq-AL"/>
        </w:rPr>
        <w:t xml:space="preserve">9. Një person fizik mund t'i paraqesë kërkesë 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>k</w:t>
      </w:r>
      <w:r w:rsidRPr="00B823AC">
        <w:rPr>
          <w:rFonts w:ascii="Arial" w:hAnsi="Arial" w:cs="Arial"/>
          <w:bCs/>
          <w:sz w:val="20"/>
          <w:szCs w:val="20"/>
          <w:lang w:val="sq-AL"/>
        </w:rPr>
        <w:t xml:space="preserve">ryesuesit të Kolegjit për ndihmë rreth përkthimit në gjuhën 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>a</w:t>
      </w:r>
      <w:r w:rsidRPr="00B823AC">
        <w:rPr>
          <w:rFonts w:ascii="Arial" w:hAnsi="Arial" w:cs="Arial"/>
          <w:bCs/>
          <w:sz w:val="20"/>
          <w:szCs w:val="20"/>
          <w:lang w:val="sq-AL"/>
        </w:rPr>
        <w:t>ngleze të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823AC">
        <w:rPr>
          <w:rFonts w:ascii="Arial" w:hAnsi="Arial" w:cs="Arial"/>
          <w:bCs/>
          <w:sz w:val="20"/>
          <w:szCs w:val="20"/>
          <w:lang w:val="sq-AL"/>
        </w:rPr>
        <w:t>lutjeve dhe dokumenteve përcjellëse. Kjo kërkesë duhet të dorëzohet bashkë me parashtresat dhe duhet të përfshijë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823AC">
        <w:rPr>
          <w:rFonts w:ascii="Arial" w:hAnsi="Arial" w:cs="Arial"/>
          <w:bCs/>
          <w:sz w:val="20"/>
          <w:szCs w:val="20"/>
          <w:lang w:val="sq-AL"/>
        </w:rPr>
        <w:t xml:space="preserve">një pasqyrë financiare të mjeteve të palës dhe çfarëdo dëshmie mbështetëse që pala dëshiron që </w:t>
      </w:r>
      <w:r w:rsidR="00275756" w:rsidRPr="00B823AC">
        <w:rPr>
          <w:rFonts w:ascii="Arial" w:hAnsi="Arial" w:cs="Arial"/>
          <w:bCs/>
          <w:sz w:val="20"/>
          <w:szCs w:val="20"/>
          <w:lang w:val="sq-AL"/>
        </w:rPr>
        <w:t xml:space="preserve">gjyqtari kryesues </w:t>
      </w:r>
      <w:r w:rsidRPr="00B823AC">
        <w:rPr>
          <w:rFonts w:ascii="Arial" w:hAnsi="Arial" w:cs="Arial"/>
          <w:bCs/>
          <w:sz w:val="20"/>
          <w:szCs w:val="20"/>
          <w:lang w:val="sq-AL"/>
        </w:rPr>
        <w:t>të marrë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823AC">
        <w:rPr>
          <w:rFonts w:ascii="Arial" w:hAnsi="Arial" w:cs="Arial"/>
          <w:bCs/>
          <w:sz w:val="20"/>
          <w:szCs w:val="20"/>
          <w:lang w:val="sq-AL"/>
        </w:rPr>
        <w:t>parasysh.</w:t>
      </w:r>
    </w:p>
    <w:p w:rsidR="00B10F6F" w:rsidRPr="00B823AC" w:rsidRDefault="00B10F6F" w:rsidP="00F129EF">
      <w:pPr>
        <w:jc w:val="both"/>
        <w:rPr>
          <w:rFonts w:ascii="Arial" w:hAnsi="Arial" w:cs="Arial"/>
          <w:bCs/>
          <w:sz w:val="20"/>
          <w:szCs w:val="20"/>
          <w:lang w:val="sq-AL"/>
        </w:rPr>
      </w:pPr>
      <w:r w:rsidRPr="00B823AC">
        <w:rPr>
          <w:rFonts w:ascii="Arial" w:hAnsi="Arial" w:cs="Arial"/>
          <w:bCs/>
          <w:sz w:val="20"/>
          <w:szCs w:val="20"/>
          <w:lang w:val="sq-AL"/>
        </w:rPr>
        <w:t>10. Gjyqtari kryesues mund të vendosë që përkthimi i lutjeve dhe i dokumenteve përcjellëse që kërkohen sipas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823AC">
        <w:rPr>
          <w:rFonts w:ascii="Arial" w:hAnsi="Arial" w:cs="Arial"/>
          <w:bCs/>
          <w:sz w:val="20"/>
          <w:szCs w:val="20"/>
          <w:lang w:val="sq-AL"/>
        </w:rPr>
        <w:t>paragrafi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>t</w:t>
      </w:r>
      <w:r w:rsidRPr="00B823AC">
        <w:rPr>
          <w:rFonts w:ascii="Arial" w:hAnsi="Arial" w:cs="Arial"/>
          <w:bCs/>
          <w:sz w:val="20"/>
          <w:szCs w:val="20"/>
          <w:lang w:val="sq-AL"/>
        </w:rPr>
        <w:t xml:space="preserve"> 8 </w:t>
      </w:r>
      <w:r w:rsidR="005F0AA9">
        <w:rPr>
          <w:rFonts w:ascii="Arial" w:hAnsi="Arial" w:cs="Arial"/>
          <w:bCs/>
          <w:sz w:val="20"/>
          <w:szCs w:val="20"/>
          <w:lang w:val="sq-AL"/>
        </w:rPr>
        <w:t xml:space="preserve">të këtij neni </w:t>
      </w:r>
      <w:r w:rsidRPr="00B823AC">
        <w:rPr>
          <w:rFonts w:ascii="Arial" w:hAnsi="Arial" w:cs="Arial"/>
          <w:bCs/>
          <w:sz w:val="20"/>
          <w:szCs w:val="20"/>
          <w:lang w:val="sq-AL"/>
        </w:rPr>
        <w:t>të bëhet me shpenzimet e Dhomës së Posaçme, nëse ai apo ajo mendon se ky vendim është i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 xml:space="preserve"> a</w:t>
      </w:r>
      <w:r w:rsidRPr="00B823AC">
        <w:rPr>
          <w:rFonts w:ascii="Arial" w:hAnsi="Arial" w:cs="Arial"/>
          <w:bCs/>
          <w:sz w:val="20"/>
          <w:szCs w:val="20"/>
          <w:lang w:val="sq-AL"/>
        </w:rPr>
        <w:t>rsyeshëm, duke pasur parasysh mjetet financiare të personit fizik. Nëse Kryesuesi i Kolegjit refuzon një kërkesë të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823AC">
        <w:rPr>
          <w:rFonts w:ascii="Arial" w:hAnsi="Arial" w:cs="Arial"/>
          <w:bCs/>
          <w:sz w:val="20"/>
          <w:szCs w:val="20"/>
          <w:lang w:val="sq-AL"/>
        </w:rPr>
        <w:t>tillë, ai duhet ta njoftojë palën me vendim me shkrim dhe të urdhërojë atë person që t'i sigurojë përkthimet në gjuhën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823AC">
        <w:rPr>
          <w:rFonts w:ascii="Arial" w:hAnsi="Arial" w:cs="Arial"/>
          <w:bCs/>
          <w:sz w:val="20"/>
          <w:szCs w:val="20"/>
          <w:lang w:val="sq-AL"/>
        </w:rPr>
        <w:t>angleze me shpenzimet e tij brenda afatit që përcaktohet në vendim. Nëse përkthimet nuk sigurohen brenda këtij afati,</w:t>
      </w:r>
      <w:r w:rsidR="00F129EF" w:rsidRPr="00B823AC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823AC">
        <w:rPr>
          <w:rFonts w:ascii="Arial" w:hAnsi="Arial" w:cs="Arial"/>
          <w:bCs/>
          <w:sz w:val="20"/>
          <w:szCs w:val="20"/>
          <w:lang w:val="sq-AL"/>
        </w:rPr>
        <w:t>Dhoma e Posaçme urdhëron përkthimin e dokumenteve dhe shpenzimet ia ngarkon personit në fjalë.</w:t>
      </w:r>
    </w:p>
    <w:p w:rsidR="00B10F6F" w:rsidRPr="00B823AC" w:rsidRDefault="00B10F6F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F129EF" w:rsidRPr="00B823AC" w:rsidRDefault="00F129EF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>Më 29 mars 2014</w:t>
      </w:r>
      <w:r w:rsidR="00625BFD" w:rsidRPr="00B823AC">
        <w:rPr>
          <w:rFonts w:ascii="Arial" w:hAnsi="Arial" w:cs="Arial"/>
          <w:bCs/>
          <w:sz w:val="22"/>
          <w:szCs w:val="22"/>
          <w:lang w:val="sq-AL"/>
        </w:rPr>
        <w:t>,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625BFD" w:rsidRPr="00B823AC">
        <w:rPr>
          <w:rFonts w:ascii="Arial" w:hAnsi="Arial" w:cs="Arial"/>
          <w:bCs/>
          <w:sz w:val="22"/>
          <w:szCs w:val="22"/>
          <w:lang w:val="sq-AL"/>
        </w:rPr>
        <w:t>l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igji i mësipërm është ndryshuar si </w:t>
      </w:r>
      <w:r w:rsidR="00F129EF" w:rsidRPr="00B823AC">
        <w:rPr>
          <w:rFonts w:ascii="Arial" w:hAnsi="Arial" w:cs="Arial"/>
          <w:bCs/>
          <w:sz w:val="22"/>
          <w:szCs w:val="22"/>
          <w:lang w:val="sq-AL"/>
        </w:rPr>
        <w:t>në vijim:</w:t>
      </w: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F129EF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Ligji </w:t>
      </w:r>
      <w:r w:rsidR="00625BFD" w:rsidRPr="00B823AC">
        <w:rPr>
          <w:rFonts w:ascii="Arial" w:hAnsi="Arial" w:cs="Arial"/>
          <w:b/>
          <w:bCs/>
          <w:sz w:val="22"/>
          <w:szCs w:val="22"/>
          <w:lang w:val="sq-AL"/>
        </w:rPr>
        <w:t>Nr.</w:t>
      </w:r>
      <w:r w:rsidRPr="00B823AC">
        <w:rPr>
          <w:rFonts w:ascii="Arial" w:hAnsi="Arial" w:cs="Arial"/>
          <w:b/>
          <w:bCs/>
          <w:sz w:val="22"/>
          <w:szCs w:val="22"/>
          <w:lang w:val="sq-AL"/>
        </w:rPr>
        <w:t xml:space="preserve"> 04/L-246</w:t>
      </w:r>
    </w:p>
    <w:p w:rsidR="00B10F6F" w:rsidRPr="00B823AC" w:rsidRDefault="00B10F6F" w:rsidP="00F129EF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LIGJI NR. 04/L-246 PËR NDRYSHIMIN DHE PLOTËSIMIN E LIGJIT Nr. 04/L-033 PËR DHOMËN E POSAÇME TË GJYKATËS SUPREME TË KOSOVËS PËR ÇËSHTJET NË LIDHJE ME AGJENCINË KOSOVARE TË PRIVATIZIMIT</w:t>
      </w:r>
    </w:p>
    <w:p w:rsidR="00B10F6F" w:rsidRPr="00B823AC" w:rsidRDefault="00B10F6F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F129EF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Neni 2</w:t>
      </w:r>
    </w:p>
    <w:p w:rsidR="00F129EF" w:rsidRPr="00B823AC" w:rsidRDefault="00F129EF" w:rsidP="00F129EF">
      <w:pPr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B10F6F" w:rsidRPr="00B823AC" w:rsidRDefault="00B10F6F" w:rsidP="00F129EF">
      <w:pPr>
        <w:pStyle w:val="ListParagraph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Neni 25 i Shtojcës së </w:t>
      </w:r>
      <w:r w:rsidR="00F129EF" w:rsidRPr="00B823AC">
        <w:rPr>
          <w:rFonts w:ascii="Arial" w:hAnsi="Arial" w:cs="Arial"/>
          <w:bCs/>
          <w:sz w:val="22"/>
          <w:szCs w:val="22"/>
          <w:lang w:val="sq-AL"/>
        </w:rPr>
        <w:t xml:space="preserve">Ligjit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bazik, paragrafi 8</w:t>
      </w:r>
      <w:r w:rsidR="00F129EF"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riformulohet me tekstin si në vijim:</w:t>
      </w:r>
    </w:p>
    <w:p w:rsidR="00B10F6F" w:rsidRPr="00B823AC" w:rsidRDefault="00B10F6F" w:rsidP="00F129EF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B10F6F" w:rsidP="00F129EF">
      <w:pPr>
        <w:ind w:left="720"/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>8. Të gjitha kërkesat dhe dokumentet përcjellëse paraqiten në gjuhën shqipe ose serbe, kurse Dhoma e Posaçme e Gjykatës Supreme të Kosovës për Çështjet në Lidhje me Agjencinë Kosovare të Privatizimit do të sigurojë, me propozimin dhe burimet e saj, përkthimin e tyre në gjuhën angleze.</w:t>
      </w:r>
    </w:p>
    <w:p w:rsidR="00F129EF" w:rsidRPr="00B823AC" w:rsidRDefault="00F129EF" w:rsidP="00F129EF">
      <w:pPr>
        <w:ind w:left="720"/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B10F6F" w:rsidP="00655F12">
      <w:pPr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2. Neni 25 i Shtojcës së </w:t>
      </w:r>
      <w:r w:rsidR="00F129EF" w:rsidRPr="00B823AC">
        <w:rPr>
          <w:rFonts w:ascii="Arial" w:hAnsi="Arial" w:cs="Arial"/>
          <w:bCs/>
          <w:sz w:val="22"/>
          <w:szCs w:val="22"/>
          <w:lang w:val="sq-AL"/>
        </w:rPr>
        <w:t>L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igjit bazik, paragrafët 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9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dhe 10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 xml:space="preserve"> f</w:t>
      </w:r>
      <w:r w:rsidRPr="00B823AC">
        <w:rPr>
          <w:rFonts w:ascii="Arial" w:hAnsi="Arial" w:cs="Arial"/>
          <w:bCs/>
          <w:sz w:val="22"/>
          <w:szCs w:val="22"/>
          <w:lang w:val="sq-AL"/>
        </w:rPr>
        <w:t>shihen në tërësi.</w:t>
      </w:r>
    </w:p>
    <w:p w:rsidR="00B10F6F" w:rsidRPr="00B823AC" w:rsidRDefault="00B10F6F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55F12">
      <w:pPr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LIGJI</w:t>
      </w:r>
    </w:p>
    <w:p w:rsidR="00655F12" w:rsidRPr="00B823AC" w:rsidRDefault="00655F12" w:rsidP="00655F12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655F12" w:rsidRPr="00B823AC" w:rsidRDefault="00655F12" w:rsidP="00655F12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655F12" w:rsidRPr="00B823AC" w:rsidRDefault="00655F12" w:rsidP="00655F12">
      <w:pPr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Parashtresat nga palët</w:t>
      </w: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3E04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 parashtrimet e tij, </w:t>
      </w:r>
      <w:proofErr w:type="spellStart"/>
      <w:r w:rsidR="00D64DD1" w:rsidRPr="00B823AC">
        <w:rPr>
          <w:rFonts w:ascii="Arial" w:hAnsi="Arial" w:cs="Arial"/>
          <w:bCs/>
          <w:sz w:val="22"/>
          <w:szCs w:val="22"/>
          <w:lang w:val="sq-AL"/>
        </w:rPr>
        <w:t>ShM</w:t>
      </w:r>
      <w:proofErr w:type="spellEnd"/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pohon se as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PGJS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-ja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as Gjykata Supreme e Kosovës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nuk janë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institucione të EULEX-it, por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ato janë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gjykata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 kuadër të sistemit gjyqësor të Kosovës, edhe pse një numër i gjyqtarëve të EULEX-it punojnë në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>hPGJS</w:t>
      </w:r>
      <w:proofErr w:type="spellEnd"/>
      <w:r w:rsidR="00651BBA" w:rsidRPr="00B823AC">
        <w:rPr>
          <w:rFonts w:ascii="Arial" w:hAnsi="Arial" w:cs="Arial"/>
          <w:bCs/>
          <w:sz w:val="22"/>
          <w:szCs w:val="22"/>
          <w:lang w:val="sq-AL"/>
        </w:rPr>
        <w:t xml:space="preserve"> dhe se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një gj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ykatës i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EULEX-it ka vendosur në këtë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lëndë.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Megjithatë, as </w:t>
      </w:r>
      <w:proofErr w:type="spellStart"/>
      <w:r w:rsidR="00D64DD1" w:rsidRPr="00B823AC">
        <w:rPr>
          <w:rFonts w:ascii="Arial" w:hAnsi="Arial" w:cs="Arial"/>
          <w:bCs/>
          <w:sz w:val="22"/>
          <w:szCs w:val="22"/>
          <w:lang w:val="sq-AL"/>
        </w:rPr>
        <w:t>ShM</w:t>
      </w:r>
      <w:proofErr w:type="spellEnd"/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 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as ndonjë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pjesëtar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tjetër i stafit të EULEX-it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nuk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mund të ndiko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j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lastRenderedPageBreak/>
        <w:t xml:space="preserve">vendimet e gjykatësve të pavarur. Prandaj, vendimi i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PGJ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>S</w:t>
      </w:r>
      <w:proofErr w:type="spellEnd"/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-së 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 xml:space="preserve">i datës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5 nënto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 xml:space="preserve">r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2013 thjesht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është një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vendim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i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një gjykate të Kosovës.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>Pasi që P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aneli nuk mund të shqyrtojë procedurat gjyqësore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gjykatave të Kosovës, ankesa bie jashtë juridiksionit të </w:t>
      </w:r>
      <w:r w:rsidR="00D64DD1" w:rsidRPr="00B823AC">
        <w:rPr>
          <w:rFonts w:ascii="Arial" w:hAnsi="Arial" w:cs="Arial"/>
          <w:bCs/>
          <w:sz w:val="22"/>
          <w:szCs w:val="22"/>
          <w:lang w:val="sq-AL"/>
        </w:rPr>
        <w:t xml:space="preserve">tij. Prandaj ajo duhet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të shpallet e papranueshme.</w:t>
      </w:r>
    </w:p>
    <w:p w:rsidR="00655F12" w:rsidRPr="00B823AC" w:rsidRDefault="00655F12" w:rsidP="003E04AC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35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Pavarësisht 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prej këtyre parashtresave, </w:t>
      </w:r>
      <w:proofErr w:type="spellStart"/>
      <w:r w:rsidR="004B6231" w:rsidRPr="00B823AC">
        <w:rPr>
          <w:rFonts w:ascii="Arial" w:hAnsi="Arial" w:cs="Arial"/>
          <w:bCs/>
          <w:sz w:val="22"/>
          <w:szCs w:val="22"/>
          <w:lang w:val="sq-AL"/>
        </w:rPr>
        <w:t>ShM</w:t>
      </w:r>
      <w:proofErr w:type="spellEnd"/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 adreson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shkeljen e supozuar të nenit 6 të Konventës dhe nenit 10 të Deklaratës. </w:t>
      </w:r>
      <w:proofErr w:type="spellStart"/>
      <w:r w:rsidR="004B6231" w:rsidRPr="00B823AC">
        <w:rPr>
          <w:rFonts w:ascii="Arial" w:hAnsi="Arial" w:cs="Arial"/>
          <w:bCs/>
          <w:sz w:val="22"/>
          <w:szCs w:val="22"/>
          <w:lang w:val="sq-AL"/>
        </w:rPr>
        <w:t>ShM</w:t>
      </w:r>
      <w:proofErr w:type="spellEnd"/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pohon se e drejta për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 qasje në gjykatë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nuk është absolute dhe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 i nënshtrohet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kufizimeve të caktuara. Një skemë e pagesave 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 xml:space="preserve">sa i përket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procedu</w:t>
      </w:r>
      <w:r w:rsidR="00651BBA" w:rsidRPr="00B823AC">
        <w:rPr>
          <w:rFonts w:ascii="Arial" w:hAnsi="Arial" w:cs="Arial"/>
          <w:bCs/>
          <w:sz w:val="22"/>
          <w:szCs w:val="22"/>
          <w:lang w:val="sq-AL"/>
        </w:rPr>
        <w:t xml:space="preserve">rave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civile 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në përgjithësi </w:t>
      </w:r>
      <w:r w:rsidR="00505E87" w:rsidRPr="00B823AC">
        <w:rPr>
          <w:rFonts w:ascii="Arial" w:hAnsi="Arial" w:cs="Arial"/>
          <w:bCs/>
          <w:sz w:val="22"/>
          <w:szCs w:val="22"/>
          <w:lang w:val="sq-AL"/>
        </w:rPr>
        <w:t xml:space="preserve">pranohen si kufizim i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ligjshëm 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ndaj së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drejtën 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për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në gjykatë. Në rastin në fjalë, ankues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it nuk ju është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mohuar ndihm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juridike me vendim</w:t>
      </w:r>
      <w:r w:rsidR="00505E87" w:rsidRPr="00B823AC">
        <w:rPr>
          <w:rFonts w:ascii="Arial" w:hAnsi="Arial" w:cs="Arial"/>
          <w:bCs/>
          <w:sz w:val="22"/>
          <w:szCs w:val="22"/>
          <w:lang w:val="sq-AL"/>
        </w:rPr>
        <w:t xml:space="preserve">in 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gjykatës për </w:t>
      </w:r>
      <w:r w:rsidR="00505E87" w:rsidRPr="00B823AC">
        <w:rPr>
          <w:rFonts w:ascii="Arial" w:hAnsi="Arial" w:cs="Arial"/>
          <w:bCs/>
          <w:sz w:val="22"/>
          <w:szCs w:val="22"/>
          <w:lang w:val="sq-AL"/>
        </w:rPr>
        <w:t xml:space="preserve">refuzimin e kërkesës tij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për 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t’u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li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ruar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nga shpenzimet. 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Prandaj, ai do të duhet 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pagua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j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një tarifë, shuma 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e së cilës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do të përcaktohet në fund të procedurës. Kjo tarifë mund t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’i </w:t>
      </w:r>
      <w:r w:rsidR="0078210C" w:rsidRPr="00B823AC">
        <w:rPr>
          <w:rFonts w:ascii="Arial" w:hAnsi="Arial" w:cs="Arial"/>
          <w:bCs/>
          <w:sz w:val="22"/>
          <w:szCs w:val="22"/>
          <w:lang w:val="sq-AL"/>
        </w:rPr>
        <w:t>kompensohet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 qoftë se 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kërkesa </w:t>
      </w:r>
      <w:r w:rsidR="005F0AA9">
        <w:rPr>
          <w:rFonts w:ascii="Arial" w:hAnsi="Arial" w:cs="Arial"/>
          <w:bCs/>
          <w:sz w:val="22"/>
          <w:szCs w:val="22"/>
          <w:lang w:val="sq-AL"/>
        </w:rPr>
        <w:t xml:space="preserve">e tij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është 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 xml:space="preserve">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suksessh</w:t>
      </w:r>
      <w:r w:rsidR="004B6231" w:rsidRPr="00B823AC">
        <w:rPr>
          <w:rFonts w:ascii="Arial" w:hAnsi="Arial" w:cs="Arial"/>
          <w:bCs/>
          <w:sz w:val="22"/>
          <w:szCs w:val="22"/>
          <w:lang w:val="sq-AL"/>
        </w:rPr>
        <w:t>me.</w:t>
      </w:r>
    </w:p>
    <w:p w:rsidR="00655F12" w:rsidRPr="00B823AC" w:rsidRDefault="00655F12" w:rsidP="00635F4D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35F4D" w:rsidP="00635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ShM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më tej pohon se Ligji për </w:t>
      </w:r>
      <w:proofErr w:type="spellStart"/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867C58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PGJS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-në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është ndryshuar dhe </w:t>
      </w:r>
      <w:proofErr w:type="spellStart"/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aplikantë</w:t>
      </w:r>
      <w:r w:rsidRPr="00B823AC">
        <w:rPr>
          <w:rFonts w:ascii="Arial" w:hAnsi="Arial" w:cs="Arial"/>
          <w:bCs/>
          <w:sz w:val="22"/>
          <w:szCs w:val="22"/>
          <w:lang w:val="sq-AL"/>
        </w:rPr>
        <w:t>ve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nuk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ju ngarkohen më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shpenzime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t për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përkth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im.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ShM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nuk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saktëson se a zbatohen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dispozitat e reja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procedura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t e nisura para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amendamenteve.</w:t>
      </w: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C677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>Në përgjigj</w:t>
      </w:r>
      <w:r w:rsidR="0047116C" w:rsidRPr="00B823AC">
        <w:rPr>
          <w:rFonts w:ascii="Arial" w:hAnsi="Arial" w:cs="Arial"/>
          <w:bCs/>
          <w:sz w:val="22"/>
          <w:szCs w:val="22"/>
          <w:lang w:val="sq-AL"/>
        </w:rPr>
        <w:t xml:space="preserve">e ndaj vërejtjeve të </w:t>
      </w:r>
      <w:proofErr w:type="spellStart"/>
      <w:r w:rsidR="0047116C" w:rsidRPr="00B823AC">
        <w:rPr>
          <w:rFonts w:ascii="Arial" w:hAnsi="Arial" w:cs="Arial"/>
          <w:bCs/>
          <w:sz w:val="22"/>
          <w:szCs w:val="22"/>
          <w:lang w:val="sq-AL"/>
        </w:rPr>
        <w:t>ShM</w:t>
      </w:r>
      <w:proofErr w:type="spellEnd"/>
      <w:r w:rsidR="0047116C" w:rsidRPr="00B823AC">
        <w:rPr>
          <w:rFonts w:ascii="Arial" w:hAnsi="Arial" w:cs="Arial"/>
          <w:bCs/>
          <w:sz w:val="22"/>
          <w:szCs w:val="22"/>
          <w:lang w:val="sq-AL"/>
        </w:rPr>
        <w:t xml:space="preserve">-së,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ankuesi pohon se ai </w:t>
      </w:r>
      <w:r w:rsidR="0047116C" w:rsidRPr="00B823AC">
        <w:rPr>
          <w:rFonts w:ascii="Arial" w:hAnsi="Arial" w:cs="Arial"/>
          <w:bCs/>
          <w:sz w:val="22"/>
          <w:szCs w:val="22"/>
          <w:lang w:val="sq-AL"/>
        </w:rPr>
        <w:t xml:space="preserve">mbështet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parashtresat e tij. Ai prano</w:t>
      </w:r>
      <w:r w:rsidR="0047116C" w:rsidRPr="00B823AC">
        <w:rPr>
          <w:rFonts w:ascii="Arial" w:hAnsi="Arial" w:cs="Arial"/>
          <w:bCs/>
          <w:sz w:val="22"/>
          <w:szCs w:val="22"/>
          <w:lang w:val="sq-AL"/>
        </w:rPr>
        <w:t xml:space="preserve">n se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Ligji për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113194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PGJS</w:t>
      </w:r>
      <w:proofErr w:type="spellEnd"/>
      <w:r w:rsidR="0047116C" w:rsidRPr="00B823AC">
        <w:rPr>
          <w:rFonts w:ascii="Arial" w:hAnsi="Arial" w:cs="Arial"/>
          <w:bCs/>
          <w:sz w:val="22"/>
          <w:szCs w:val="22"/>
          <w:lang w:val="sq-AL"/>
        </w:rPr>
        <w:t xml:space="preserve">-në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është ndryshuar dhe se barra e shpenzimeve të përkthimit </w:t>
      </w:r>
      <w:r w:rsidR="0047116C" w:rsidRPr="00B823AC">
        <w:rPr>
          <w:rFonts w:ascii="Arial" w:hAnsi="Arial" w:cs="Arial"/>
          <w:bCs/>
          <w:sz w:val="22"/>
          <w:szCs w:val="22"/>
          <w:lang w:val="sq-AL"/>
        </w:rPr>
        <w:t xml:space="preserve">më nuk mbulohet nga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palët në procedurë. </w:t>
      </w:r>
      <w:r w:rsidR="003602DE" w:rsidRPr="00B823AC">
        <w:rPr>
          <w:rFonts w:ascii="Arial" w:hAnsi="Arial" w:cs="Arial"/>
          <w:bCs/>
          <w:sz w:val="22"/>
          <w:szCs w:val="22"/>
          <w:lang w:val="sq-AL"/>
        </w:rPr>
        <w:t xml:space="preserve">Megjithatë sipas </w:t>
      </w:r>
      <w:r w:rsidR="00113194" w:rsidRPr="00B823AC">
        <w:rPr>
          <w:rFonts w:ascii="Arial" w:hAnsi="Arial" w:cs="Arial"/>
          <w:bCs/>
          <w:sz w:val="22"/>
          <w:szCs w:val="22"/>
          <w:lang w:val="sq-AL"/>
        </w:rPr>
        <w:t xml:space="preserve">kësaj pikëpamje, </w:t>
      </w:r>
      <w:r w:rsidR="003602DE" w:rsidRPr="00B823AC">
        <w:rPr>
          <w:rFonts w:ascii="Arial" w:hAnsi="Arial" w:cs="Arial"/>
          <w:bCs/>
          <w:sz w:val="22"/>
          <w:szCs w:val="22"/>
          <w:lang w:val="sq-AL"/>
        </w:rPr>
        <w:t xml:space="preserve">kjo tregon se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ankesa e tij ishte e bazuar.</w:t>
      </w:r>
    </w:p>
    <w:p w:rsidR="00655F12" w:rsidRPr="00B823AC" w:rsidRDefault="00655F12" w:rsidP="00C67715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C67715" w:rsidP="00C677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Sa i përket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manda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tit të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Panelit për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ta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shqyrtua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r lëndën e tij,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ankuesi thekson se refuzimi i ankesës për shkak të mungesës së juridiksionit do të çojë në një boshllëk ligj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or,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pasi nuk do të ketë asnjë mekanizëm kontrolli mbi punën e gj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ykatësve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të EULEX-it. As Këshilli Gjyqësor i Kosovë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s e as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ndonjë autoritet tjetër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i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Koso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vës nuk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do të ketë juridiksion mb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i lëndën.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Si pasojë, nuk do të ketë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s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igur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i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juridike, nuk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do të ketë </w:t>
      </w:r>
      <w:r w:rsidR="0027433C">
        <w:rPr>
          <w:rFonts w:ascii="Arial" w:hAnsi="Arial" w:cs="Arial"/>
          <w:bCs/>
          <w:sz w:val="22"/>
          <w:szCs w:val="22"/>
          <w:lang w:val="sq-AL"/>
        </w:rPr>
        <w:t xml:space="preserve">kufizime të veprimeve </w:t>
      </w:r>
      <w:proofErr w:type="spellStart"/>
      <w:r w:rsidR="0027433C">
        <w:rPr>
          <w:rFonts w:ascii="Arial" w:hAnsi="Arial" w:cs="Arial"/>
          <w:bCs/>
          <w:sz w:val="22"/>
          <w:szCs w:val="22"/>
          <w:lang w:val="sq-AL"/>
        </w:rPr>
        <w:t>diskrecionale</w:t>
      </w:r>
      <w:proofErr w:type="spellEnd"/>
      <w:r w:rsidR="0027433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nga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gjykatë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sit apo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ndonjë kontroll efikas mbi punën e tyre.</w:t>
      </w:r>
    </w:p>
    <w:p w:rsidR="00655F12" w:rsidRPr="00B823AC" w:rsidRDefault="00655F12" w:rsidP="00C67715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224AD4" w:rsidP="00C677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Sa i përket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shkel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jes së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pretendua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r të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nenit 6 të Konventës, ankuesi pohon se mungesa e arsyetimit të mjaftueshëm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e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vendimit përkatës çon në shkelje të parimit të ligjshmërisë dhe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çon drejt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pasigurisë ligjore,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pasi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palët në procedurë nuk kanë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qasje 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rregulloret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mjaft preciz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e rreth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lirim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it nga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 xml:space="preserve">pagesa e taksave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gjyqësore </w:t>
      </w:r>
      <w:r w:rsidR="00655F12" w:rsidRPr="00B823AC">
        <w:rPr>
          <w:rFonts w:ascii="Arial" w:hAnsi="Arial" w:cs="Arial"/>
          <w:bCs/>
          <w:sz w:val="22"/>
          <w:szCs w:val="22"/>
          <w:lang w:val="sq-AL"/>
        </w:rPr>
        <w:t>dhe shpenzim</w:t>
      </w:r>
      <w:r w:rsidRPr="00B823AC">
        <w:rPr>
          <w:rFonts w:ascii="Arial" w:hAnsi="Arial" w:cs="Arial"/>
          <w:bCs/>
          <w:sz w:val="22"/>
          <w:szCs w:val="22"/>
          <w:lang w:val="sq-AL"/>
        </w:rPr>
        <w:t>eve.</w:t>
      </w:r>
    </w:p>
    <w:p w:rsidR="000D7195" w:rsidRPr="00B823AC" w:rsidRDefault="000D7195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655F12" w:rsidP="00655F12">
      <w:pPr>
        <w:rPr>
          <w:rFonts w:ascii="Arial" w:hAnsi="Arial" w:cs="Arial"/>
          <w:b/>
          <w:bCs/>
          <w:sz w:val="22"/>
          <w:szCs w:val="22"/>
          <w:lang w:val="sq-AL"/>
        </w:rPr>
      </w:pPr>
      <w:r w:rsidRPr="00B823AC">
        <w:rPr>
          <w:rFonts w:ascii="Arial" w:hAnsi="Arial" w:cs="Arial"/>
          <w:b/>
          <w:bCs/>
          <w:sz w:val="22"/>
          <w:szCs w:val="22"/>
          <w:lang w:val="sq-AL"/>
        </w:rPr>
        <w:t>Vlerësimi i Panelit</w:t>
      </w:r>
    </w:p>
    <w:p w:rsidR="00655F12" w:rsidRPr="00B823AC" w:rsidRDefault="00655F12" w:rsidP="00655F12">
      <w:pPr>
        <w:rPr>
          <w:rFonts w:ascii="Arial" w:hAnsi="Arial" w:cs="Arial"/>
          <w:bCs/>
          <w:sz w:val="22"/>
          <w:szCs w:val="22"/>
          <w:lang w:val="sq-AL"/>
        </w:rPr>
      </w:pPr>
    </w:p>
    <w:p w:rsidR="00694166" w:rsidRPr="00B823AC" w:rsidRDefault="00694166" w:rsidP="006941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Si çështje e së drejtës materiale, Paneli është i autorizuar të përdorur instrumentet e të drejtave të njeriut siç pasqyrohen në konceptin llogaridhënës të EULEX-it të datës 29 tetor 2009 mbi themelimin e Panelit për Shqyrtimin e të Drejtave të Njeriut. Me rëndësi të veçantë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lastRenderedPageBreak/>
        <w:t>për punën e Panelit janë Konventa Evropiane për Mbrojtjen e të Drejtave të Njeriut dhe Lirive Themelore (Konventa) dhe Konventa Ndërkombëtare mbi të Drejtat Civile dhe Politike, të cilat përcaktojnë standardet minimale për mbrojtjen e të drejtave të njeriut, të cilat duhet të garantohen nga autoritetet publike në të gjitha sistemet ligjore demokratike.</w:t>
      </w:r>
    </w:p>
    <w:p w:rsidR="00694166" w:rsidRPr="00B823AC" w:rsidRDefault="00694166" w:rsidP="00694166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94166" w:rsidRPr="00B823AC" w:rsidRDefault="00694166" w:rsidP="00C21C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Para shqyrtimit të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bazueshmërisë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së ankesës, Paneli duhet të vendos nëse do ta pranoj ankesën, duke marrë parasysh kriteret e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pranueshmërisë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të përcaktuara me rregullën 29 të rregullores së vet të punës.</w:t>
      </w:r>
    </w:p>
    <w:p w:rsidR="00655F12" w:rsidRPr="00B823AC" w:rsidRDefault="00655F12" w:rsidP="00C21CA7">
      <w:pPr>
        <w:pStyle w:val="ListParagraph"/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C21CA7" w:rsidP="008137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Sipas rregullës 25, paragrafit 1 të rregullores së vet të punës, Paneli mund të shqyrtojë ankesat që kanë të bëjnë me shkeljet e të drejtave të njeriut nga ana e EULEX-i në Kosovë gjatë ushtrimit të mandatit të tij ekzekutiv. </w:t>
      </w:r>
      <w:r w:rsidR="00873CF4" w:rsidRPr="00B823AC">
        <w:rPr>
          <w:rFonts w:ascii="Arial" w:hAnsi="Arial" w:cs="Arial"/>
          <w:bCs/>
          <w:sz w:val="22"/>
          <w:szCs w:val="22"/>
          <w:lang w:val="sq-AL"/>
        </w:rPr>
        <w:t>Mandati ekzekutiv i referohet çështjeve të caktuara që kanë të bëjnë me drejtësinë, policinë dhe doga</w:t>
      </w:r>
      <w:r w:rsidR="00185BEB" w:rsidRPr="00B823AC">
        <w:rPr>
          <w:rFonts w:ascii="Arial" w:hAnsi="Arial" w:cs="Arial"/>
          <w:bCs/>
          <w:sz w:val="22"/>
          <w:szCs w:val="22"/>
          <w:lang w:val="sq-AL"/>
        </w:rPr>
        <w:t>nën.</w:t>
      </w:r>
    </w:p>
    <w:p w:rsidR="00C21CA7" w:rsidRPr="00B823AC" w:rsidRDefault="00C21CA7" w:rsidP="008137B6">
      <w:pPr>
        <w:pStyle w:val="ListParagraph"/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873CF4" w:rsidP="008137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Paneli thekson se ankesa e ankuesit ka të bëjë me qasjen e tij në procedurën </w:t>
      </w:r>
      <w:r w:rsidR="008137B6" w:rsidRPr="00B823AC">
        <w:rPr>
          <w:rFonts w:ascii="Arial" w:hAnsi="Arial" w:cs="Arial"/>
          <w:bCs/>
          <w:sz w:val="22"/>
          <w:szCs w:val="22"/>
          <w:lang w:val="sq-AL"/>
        </w:rPr>
        <w:t xml:space="preserve">pranë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Dhomës së Posaçme të Gjykatës Supreme të Kosovës.</w:t>
      </w:r>
    </w:p>
    <w:p w:rsidR="001A501B" w:rsidRPr="00B823AC" w:rsidRDefault="001A501B" w:rsidP="001A501B">
      <w:pPr>
        <w:pStyle w:val="ListParagrap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1A501B" w:rsidP="001A50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Paneli përsërit se në bazë të rregullës 25, paragrafit 1, bazuar në konceptin e llogaridhënies në OPLAN-it të EULEX-it në Kosovë, në parim Paneli nuk mund të shqyrtoj procedurat gjyqësore të gjykatave të Kosovës. Paneli nuk ka kompetencë as në fushën administrative e as në fushën juridike të punës së gjykatave të Kosovës. Fakti se gjykatësit e EULEX-it janë pjesë e trupit gjykues të ndonjë gjykate të caktuar, nuk do të thotë se ajo gjykatë nuk është pjesë e sistemit juridik të Kosovës (shih në mesin e shumë të tjerëve </w:t>
      </w:r>
      <w:proofErr w:type="spellStart"/>
      <w:r w:rsidR="00873CF4" w:rsidRPr="00B823AC">
        <w:rPr>
          <w:rFonts w:ascii="Arial" w:hAnsi="Arial" w:cs="Arial"/>
          <w:bCs/>
          <w:i/>
          <w:sz w:val="22"/>
          <w:szCs w:val="22"/>
          <w:lang w:val="sq-AL"/>
        </w:rPr>
        <w:t>Fahri</w:t>
      </w:r>
      <w:proofErr w:type="spellEnd"/>
      <w:r w:rsidR="00873CF4" w:rsidRPr="00B823AC">
        <w:rPr>
          <w:rFonts w:ascii="Arial" w:hAnsi="Arial" w:cs="Arial"/>
          <w:bCs/>
          <w:i/>
          <w:sz w:val="22"/>
          <w:szCs w:val="22"/>
          <w:lang w:val="sq-AL"/>
        </w:rPr>
        <w:t xml:space="preserve"> Rexhepi kundër EULEX-it</w:t>
      </w:r>
      <w:r w:rsidR="00873CF4" w:rsidRPr="00B823AC">
        <w:rPr>
          <w:rFonts w:ascii="Arial" w:hAnsi="Arial" w:cs="Arial"/>
          <w:bCs/>
          <w:sz w:val="22"/>
          <w:szCs w:val="22"/>
          <w:lang w:val="sq-AL"/>
        </w:rPr>
        <w:t xml:space="preserve">, nr. 2014-19, 10 nëntor 2014 , § 12; </w:t>
      </w:r>
      <w:r w:rsidR="00873CF4" w:rsidRPr="00B823AC">
        <w:rPr>
          <w:rFonts w:ascii="Arial" w:hAnsi="Arial" w:cs="Arial"/>
          <w:bCs/>
          <w:i/>
          <w:sz w:val="22"/>
          <w:szCs w:val="22"/>
          <w:lang w:val="sq-AL"/>
        </w:rPr>
        <w:t>Gani Zeka kundër EULEX-it</w:t>
      </w:r>
      <w:r w:rsidR="00873CF4" w:rsidRPr="00B823AC">
        <w:rPr>
          <w:rFonts w:ascii="Arial" w:hAnsi="Arial" w:cs="Arial"/>
          <w:bCs/>
          <w:sz w:val="22"/>
          <w:szCs w:val="22"/>
          <w:lang w:val="sq-AL"/>
        </w:rPr>
        <w:t>, 2013-15, 4 shkurt 2014 § 13).</w:t>
      </w:r>
    </w:p>
    <w:p w:rsidR="00655F12" w:rsidRPr="00B823AC" w:rsidRDefault="00655F12" w:rsidP="001A501B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7B6EE8" w:rsidRDefault="00873CF4" w:rsidP="001C62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7B6EE8">
        <w:rPr>
          <w:rFonts w:ascii="Arial" w:hAnsi="Arial" w:cs="Arial"/>
          <w:bCs/>
          <w:sz w:val="22"/>
          <w:szCs w:val="22"/>
          <w:lang w:val="sq-AL"/>
        </w:rPr>
        <w:t>Prandaj, Panel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i në parim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nuk mund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 t’i shqyrtoj vendimet e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gj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ykatësve të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EULEX-it si të till</w:t>
      </w:r>
      <w:r w:rsidR="00CF790B" w:rsidRPr="007B6EE8">
        <w:rPr>
          <w:rFonts w:ascii="Arial" w:hAnsi="Arial" w:cs="Arial"/>
          <w:bCs/>
          <w:sz w:val="22"/>
          <w:szCs w:val="22"/>
          <w:lang w:val="sq-AL"/>
        </w:rPr>
        <w:t xml:space="preserve">a. 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Megjithatë, 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Paneli 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tashmë ka konstatuar se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në rrethana të caktuar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a,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juridiksion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i i 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Panelit 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do të mbuloj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vendimet dhe aktet e autoriteteve gjyqësore si të till</w:t>
      </w:r>
      <w:r w:rsidR="00CF790B" w:rsidRPr="007B6EE8">
        <w:rPr>
          <w:rFonts w:ascii="Arial" w:hAnsi="Arial" w:cs="Arial"/>
          <w:bCs/>
          <w:sz w:val="22"/>
          <w:szCs w:val="22"/>
          <w:lang w:val="sq-AL"/>
        </w:rPr>
        <w:t xml:space="preserve">a, 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në veçanti ku </w:t>
      </w:r>
      <w:r w:rsidR="00CF790B" w:rsidRPr="007B6EE8">
        <w:rPr>
          <w:rFonts w:ascii="Arial" w:hAnsi="Arial" w:cs="Arial"/>
          <w:bCs/>
          <w:sz w:val="22"/>
          <w:szCs w:val="22"/>
          <w:lang w:val="sq-AL"/>
        </w:rPr>
        <w:t xml:space="preserve">akuzat e 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>b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esueshme për shkelje të </w:t>
      </w:r>
      <w:proofErr w:type="spellStart"/>
      <w:r w:rsidRPr="007B6EE8">
        <w:rPr>
          <w:rFonts w:ascii="Arial" w:hAnsi="Arial" w:cs="Arial"/>
          <w:bCs/>
          <w:sz w:val="22"/>
          <w:szCs w:val="22"/>
          <w:lang w:val="sq-AL"/>
        </w:rPr>
        <w:t>të</w:t>
      </w:r>
      <w:proofErr w:type="spellEnd"/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 drejtave të njeriut 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që i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atribuohe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n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gj</w:t>
      </w:r>
      <w:r w:rsidR="001A501B" w:rsidRPr="007B6EE8">
        <w:rPr>
          <w:rFonts w:ascii="Arial" w:hAnsi="Arial" w:cs="Arial"/>
          <w:bCs/>
          <w:sz w:val="22"/>
          <w:szCs w:val="22"/>
          <w:lang w:val="sq-AL"/>
        </w:rPr>
        <w:t xml:space="preserve">ykatësve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të EULEX-it nuk janë trajtuar plotësisht nga autoritetet kompetente gjyqësore në procedura ankimore (</w:t>
      </w:r>
      <w:proofErr w:type="spellStart"/>
      <w:r w:rsidRPr="007B6EE8">
        <w:rPr>
          <w:rFonts w:ascii="Arial" w:hAnsi="Arial" w:cs="Arial"/>
          <w:bCs/>
          <w:i/>
          <w:sz w:val="22"/>
          <w:szCs w:val="22"/>
          <w:lang w:val="sq-AL"/>
        </w:rPr>
        <w:t>Tomë</w:t>
      </w:r>
      <w:proofErr w:type="spellEnd"/>
      <w:r w:rsidRPr="007B6EE8">
        <w:rPr>
          <w:rFonts w:ascii="Arial" w:hAnsi="Arial" w:cs="Arial"/>
          <w:bCs/>
          <w:i/>
          <w:sz w:val="22"/>
          <w:szCs w:val="22"/>
          <w:lang w:val="sq-AL"/>
        </w:rPr>
        <w:t xml:space="preserve"> Krasniqi kundër EULEX-it</w:t>
      </w:r>
      <w:r w:rsidRPr="007B6EE8">
        <w:rPr>
          <w:rFonts w:ascii="Arial" w:hAnsi="Arial" w:cs="Arial"/>
          <w:bCs/>
          <w:sz w:val="22"/>
          <w:szCs w:val="22"/>
          <w:lang w:val="sq-AL"/>
        </w:rPr>
        <w:t>, nr. 2014-04 27 maj 2014 § 15).</w:t>
      </w:r>
    </w:p>
    <w:p w:rsidR="007B6EE8" w:rsidRPr="007B6EE8" w:rsidRDefault="007B6EE8" w:rsidP="007B6EE8">
      <w:pPr>
        <w:pStyle w:val="ListParagraph"/>
        <w:rPr>
          <w:rFonts w:ascii="Arial" w:hAnsi="Arial" w:cs="Arial"/>
          <w:bCs/>
          <w:sz w:val="22"/>
          <w:szCs w:val="22"/>
          <w:lang w:val="sq-AL"/>
        </w:rPr>
      </w:pPr>
    </w:p>
    <w:p w:rsidR="008914A4" w:rsidRPr="007B6EE8" w:rsidRDefault="00873CF4" w:rsidP="001C62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Paneli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këtu 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rikujton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se 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neni 6 § 1 </w:t>
      </w:r>
      <w:r w:rsidR="00282550" w:rsidRPr="007B6EE8">
        <w:rPr>
          <w:rFonts w:ascii="Arial" w:hAnsi="Arial" w:cs="Arial"/>
          <w:bCs/>
          <w:sz w:val="22"/>
          <w:szCs w:val="22"/>
          <w:lang w:val="sq-AL"/>
        </w:rPr>
        <w:t xml:space="preserve">përfshinë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“</w:t>
      </w:r>
      <w:r w:rsidR="00282550" w:rsidRPr="007B6EE8">
        <w:rPr>
          <w:rFonts w:ascii="Arial" w:hAnsi="Arial" w:cs="Arial"/>
          <w:bCs/>
          <w:sz w:val="22"/>
          <w:szCs w:val="22"/>
          <w:lang w:val="sq-AL"/>
        </w:rPr>
        <w:t xml:space="preserve">të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drej</w:t>
      </w:r>
      <w:r w:rsidR="00282550" w:rsidRPr="007B6EE8">
        <w:rPr>
          <w:rFonts w:ascii="Arial" w:hAnsi="Arial" w:cs="Arial"/>
          <w:bCs/>
          <w:sz w:val="22"/>
          <w:szCs w:val="22"/>
          <w:lang w:val="sq-AL"/>
        </w:rPr>
        <w:t xml:space="preserve">tën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për gj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ykim”, n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ga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e cila e 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drejta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për qasje, pra e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drejt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për të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nisur </w:t>
      </w:r>
      <w:r w:rsidR="00282550" w:rsidRPr="007B6EE8">
        <w:rPr>
          <w:rFonts w:ascii="Arial" w:hAnsi="Arial" w:cs="Arial"/>
          <w:bCs/>
          <w:sz w:val="22"/>
          <w:szCs w:val="22"/>
          <w:lang w:val="sq-AL"/>
        </w:rPr>
        <w:t xml:space="preserve">procedurat në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një gjyka</w:t>
      </w:r>
      <w:r w:rsidR="00282550" w:rsidRPr="007B6EE8">
        <w:rPr>
          <w:rFonts w:ascii="Arial" w:hAnsi="Arial" w:cs="Arial"/>
          <w:bCs/>
          <w:sz w:val="22"/>
          <w:szCs w:val="22"/>
          <w:lang w:val="sq-AL"/>
        </w:rPr>
        <w:t xml:space="preserve">të </w:t>
      </w:r>
      <w:r w:rsidRPr="007B6EE8">
        <w:rPr>
          <w:rFonts w:ascii="Arial" w:hAnsi="Arial" w:cs="Arial"/>
          <w:bCs/>
          <w:sz w:val="22"/>
          <w:szCs w:val="22"/>
          <w:lang w:val="sq-AL"/>
        </w:rPr>
        <w:t xml:space="preserve">në çështjet civile, përbën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vetëm </w:t>
      </w:r>
      <w:r w:rsidRPr="007B6EE8">
        <w:rPr>
          <w:rFonts w:ascii="Arial" w:hAnsi="Arial" w:cs="Arial"/>
          <w:bCs/>
          <w:sz w:val="22"/>
          <w:szCs w:val="22"/>
          <w:lang w:val="sq-AL"/>
        </w:rPr>
        <w:t>një aspek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t; </w:t>
      </w:r>
      <w:r w:rsidR="00282550" w:rsidRPr="007B6EE8">
        <w:rPr>
          <w:rFonts w:ascii="Arial" w:hAnsi="Arial" w:cs="Arial"/>
          <w:bCs/>
          <w:sz w:val="22"/>
          <w:szCs w:val="22"/>
          <w:lang w:val="sq-AL"/>
        </w:rPr>
        <w:t>m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egjithatë, ajo është një aspekt që në thelb lejon atë të përfitojë nga garancitë </w:t>
      </w:r>
      <w:r w:rsidR="00282550" w:rsidRPr="007B6EE8">
        <w:rPr>
          <w:rFonts w:ascii="Arial" w:hAnsi="Arial" w:cs="Arial"/>
          <w:bCs/>
          <w:sz w:val="22"/>
          <w:szCs w:val="22"/>
          <w:lang w:val="sq-AL"/>
        </w:rPr>
        <w:t xml:space="preserve">e tjera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të referuara në paragrafin 1 të nenit nr. 6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>. K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arakteristikat 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e drejta,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publike dhe të shpejt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të procedurave gjyqësore janë me të vërtetë të pavlefshme nëse procedurat e tilla 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fillimisht </w:t>
      </w:r>
      <w:r w:rsidR="00282550" w:rsidRPr="007B6EE8">
        <w:rPr>
          <w:rFonts w:ascii="Arial" w:hAnsi="Arial" w:cs="Arial"/>
          <w:bCs/>
          <w:sz w:val="22"/>
          <w:szCs w:val="22"/>
          <w:lang w:val="sq-AL"/>
        </w:rPr>
        <w:t>nuk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 ka</w:t>
      </w:r>
      <w:r w:rsidR="00CB5BF7" w:rsidRPr="007B6EE8">
        <w:rPr>
          <w:rFonts w:ascii="Arial" w:hAnsi="Arial" w:cs="Arial"/>
          <w:bCs/>
          <w:sz w:val="22"/>
          <w:szCs w:val="22"/>
          <w:lang w:val="sq-AL"/>
        </w:rPr>
        <w:t>në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 nisur. E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në çështjet civile vështirë se mund të imagjino</w:t>
      </w:r>
      <w:r w:rsidR="00CB5BF7" w:rsidRPr="007B6EE8">
        <w:rPr>
          <w:rFonts w:ascii="Arial" w:hAnsi="Arial" w:cs="Arial"/>
          <w:bCs/>
          <w:sz w:val="22"/>
          <w:szCs w:val="22"/>
          <w:lang w:val="sq-AL"/>
        </w:rPr>
        <w:t xml:space="preserve">het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sundim</w:t>
      </w:r>
      <w:r w:rsidR="00CB5BF7" w:rsidRPr="007B6EE8">
        <w:rPr>
          <w:rFonts w:ascii="Arial" w:hAnsi="Arial" w:cs="Arial"/>
          <w:bCs/>
          <w:sz w:val="22"/>
          <w:szCs w:val="22"/>
          <w:lang w:val="sq-AL"/>
        </w:rPr>
        <w:t xml:space="preserve">i i ligjit 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pa pasur aty mundësi </w:t>
      </w:r>
      <w:r w:rsidR="00CB5BF7" w:rsidRPr="007B6EE8">
        <w:rPr>
          <w:rFonts w:ascii="Arial" w:hAnsi="Arial" w:cs="Arial"/>
          <w:bCs/>
          <w:sz w:val="22"/>
          <w:szCs w:val="22"/>
          <w:lang w:val="sq-AL"/>
        </w:rPr>
        <w:t xml:space="preserve">për të pasur qasje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në gjyka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të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(shih, në mesin e shumë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lastRenderedPageBreak/>
        <w:t xml:space="preserve">vendime të tjera, </w:t>
      </w:r>
      <w:proofErr w:type="spellStart"/>
      <w:r w:rsidR="008914A4" w:rsidRPr="007B6EE8">
        <w:rPr>
          <w:rFonts w:ascii="Arial" w:hAnsi="Arial" w:cs="Arial"/>
          <w:bCs/>
          <w:i/>
          <w:sz w:val="22"/>
          <w:szCs w:val="22"/>
          <w:lang w:val="sq-AL"/>
        </w:rPr>
        <w:t>Golder</w:t>
      </w:r>
      <w:proofErr w:type="spellEnd"/>
      <w:r w:rsidR="008914A4" w:rsidRPr="007B6EE8">
        <w:rPr>
          <w:rFonts w:ascii="Arial" w:hAnsi="Arial" w:cs="Arial"/>
          <w:bCs/>
          <w:i/>
          <w:sz w:val="22"/>
          <w:szCs w:val="22"/>
          <w:lang w:val="sq-AL"/>
        </w:rPr>
        <w:t xml:space="preserve"> kundër Mbretërisë së Bashkuar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, datë 21</w:t>
      </w:r>
      <w:r w:rsidR="00CB5BF7" w:rsidRPr="007B6EE8">
        <w:rPr>
          <w:rFonts w:ascii="Arial" w:hAnsi="Arial" w:cs="Arial"/>
          <w:bCs/>
          <w:sz w:val="22"/>
          <w:szCs w:val="22"/>
          <w:lang w:val="sq-AL"/>
        </w:rPr>
        <w:t xml:space="preserve"> janar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1975</w:t>
      </w:r>
      <w:r w:rsidR="0037236C" w:rsidRPr="007B6EE8">
        <w:rPr>
          <w:rFonts w:ascii="Arial" w:hAnsi="Arial" w:cs="Arial"/>
          <w:bCs/>
          <w:sz w:val="22"/>
          <w:szCs w:val="22"/>
          <w:lang w:val="sq-AL"/>
        </w:rPr>
        <w:t xml:space="preserve">,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§§ 34 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in fine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dhe 35-36, </w:t>
      </w:r>
      <w:r w:rsidR="001772E0" w:rsidRPr="007B6EE8">
        <w:rPr>
          <w:rFonts w:ascii="Arial" w:hAnsi="Arial" w:cs="Arial"/>
          <w:bCs/>
          <w:sz w:val="22"/>
          <w:szCs w:val="22"/>
          <w:lang w:val="sq-AL"/>
        </w:rPr>
        <w:t>s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e</w:t>
      </w:r>
      <w:r w:rsidR="00701BD1" w:rsidRPr="007B6EE8">
        <w:rPr>
          <w:rFonts w:ascii="Arial" w:hAnsi="Arial" w:cs="Arial"/>
          <w:bCs/>
          <w:sz w:val="22"/>
          <w:szCs w:val="22"/>
          <w:lang w:val="sq-AL"/>
        </w:rPr>
        <w:t xml:space="preserve">ria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="00CB5BF7" w:rsidRPr="007B6EE8">
        <w:rPr>
          <w:rFonts w:ascii="Arial" w:hAnsi="Arial" w:cs="Arial"/>
          <w:bCs/>
          <w:sz w:val="22"/>
          <w:szCs w:val="22"/>
          <w:lang w:val="sq-AL"/>
        </w:rPr>
        <w:t>nr.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 18,. Z</w:t>
      </w:r>
      <w:r w:rsidR="008914A4" w:rsidRPr="007B6EE8">
        <w:rPr>
          <w:rFonts w:ascii="Arial" w:hAnsi="Arial" w:cs="Arial"/>
          <w:bCs/>
          <w:i/>
          <w:sz w:val="22"/>
          <w:szCs w:val="22"/>
          <w:lang w:val="sq-AL"/>
        </w:rPr>
        <w:t>. dhe të tjerë</w:t>
      </w:r>
      <w:r w:rsidR="006714C3" w:rsidRPr="007B6EE8">
        <w:rPr>
          <w:rFonts w:ascii="Arial" w:hAnsi="Arial" w:cs="Arial"/>
          <w:bCs/>
          <w:i/>
          <w:sz w:val="22"/>
          <w:szCs w:val="22"/>
          <w:lang w:val="sq-AL"/>
        </w:rPr>
        <w:t>t</w:t>
      </w:r>
      <w:r w:rsidR="008914A4" w:rsidRPr="007B6EE8">
        <w:rPr>
          <w:rFonts w:ascii="Arial" w:hAnsi="Arial" w:cs="Arial"/>
          <w:bCs/>
          <w:i/>
          <w:sz w:val="22"/>
          <w:szCs w:val="22"/>
          <w:lang w:val="sq-AL"/>
        </w:rPr>
        <w:t xml:space="preserve"> </w:t>
      </w:r>
      <w:r w:rsidR="006714C3" w:rsidRPr="007B6EE8">
        <w:rPr>
          <w:rFonts w:ascii="Arial" w:hAnsi="Arial" w:cs="Arial"/>
          <w:bCs/>
          <w:i/>
          <w:sz w:val="22"/>
          <w:szCs w:val="22"/>
          <w:lang w:val="sq-AL"/>
        </w:rPr>
        <w:t xml:space="preserve">kundër </w:t>
      </w:r>
      <w:r w:rsidR="008914A4" w:rsidRPr="007B6EE8">
        <w:rPr>
          <w:rFonts w:ascii="Arial" w:hAnsi="Arial" w:cs="Arial"/>
          <w:bCs/>
          <w:i/>
          <w:sz w:val="22"/>
          <w:szCs w:val="22"/>
          <w:lang w:val="sq-AL"/>
        </w:rPr>
        <w:t>Mbretëria e Bashkuar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 [GC], </w:t>
      </w:r>
      <w:r w:rsidR="00CB5BF7" w:rsidRPr="007B6EE8">
        <w:rPr>
          <w:rFonts w:ascii="Arial" w:hAnsi="Arial" w:cs="Arial"/>
          <w:bCs/>
          <w:sz w:val="22"/>
          <w:szCs w:val="22"/>
          <w:lang w:val="sq-AL"/>
        </w:rPr>
        <w:t>nr.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 29392/95, §§ 91 93, </w:t>
      </w:r>
      <w:proofErr w:type="spellStart"/>
      <w:r w:rsidR="006714C3" w:rsidRPr="007B6EE8">
        <w:rPr>
          <w:rFonts w:ascii="Arial" w:hAnsi="Arial" w:cs="Arial"/>
          <w:bCs/>
          <w:sz w:val="22"/>
          <w:szCs w:val="22"/>
          <w:lang w:val="sq-AL"/>
        </w:rPr>
        <w:t>KEDNj</w:t>
      </w:r>
      <w:proofErr w:type="spellEnd"/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2001-V,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dh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e </w:t>
      </w:r>
      <w:proofErr w:type="spellStart"/>
      <w:r w:rsidR="006714C3" w:rsidRPr="007B6EE8">
        <w:rPr>
          <w:rFonts w:ascii="Arial" w:hAnsi="Arial" w:cs="Arial"/>
          <w:bCs/>
          <w:i/>
          <w:sz w:val="22"/>
          <w:szCs w:val="22"/>
          <w:lang w:val="sq-AL"/>
        </w:rPr>
        <w:t>Kreuz</w:t>
      </w:r>
      <w:proofErr w:type="spellEnd"/>
      <w:r w:rsidR="006714C3" w:rsidRPr="007B6EE8">
        <w:rPr>
          <w:rFonts w:ascii="Arial" w:hAnsi="Arial" w:cs="Arial"/>
          <w:bCs/>
          <w:i/>
          <w:sz w:val="22"/>
          <w:szCs w:val="22"/>
          <w:lang w:val="sq-AL"/>
        </w:rPr>
        <w:t xml:space="preserve"> </w:t>
      </w:r>
      <w:r w:rsidR="008914A4" w:rsidRPr="007B6EE8">
        <w:rPr>
          <w:rFonts w:ascii="Arial" w:hAnsi="Arial" w:cs="Arial"/>
          <w:bCs/>
          <w:i/>
          <w:sz w:val="22"/>
          <w:szCs w:val="22"/>
          <w:lang w:val="sq-AL"/>
        </w:rPr>
        <w:t xml:space="preserve">kundër </w:t>
      </w:r>
      <w:r w:rsidR="006714C3" w:rsidRPr="007B6EE8">
        <w:rPr>
          <w:rFonts w:ascii="Arial" w:hAnsi="Arial" w:cs="Arial"/>
          <w:bCs/>
          <w:i/>
          <w:sz w:val="22"/>
          <w:szCs w:val="22"/>
          <w:lang w:val="sq-AL"/>
        </w:rPr>
        <w:t>Polonisë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, nr. 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 xml:space="preserve">28249/95, § 52, </w:t>
      </w:r>
      <w:proofErr w:type="spellStart"/>
      <w:r w:rsidR="006714C3" w:rsidRPr="007B6EE8">
        <w:rPr>
          <w:rFonts w:ascii="Arial" w:hAnsi="Arial" w:cs="Arial"/>
          <w:bCs/>
          <w:sz w:val="22"/>
          <w:szCs w:val="22"/>
          <w:lang w:val="sq-AL"/>
        </w:rPr>
        <w:t>KEDNj</w:t>
      </w:r>
      <w:proofErr w:type="spellEnd"/>
      <w:r w:rsidR="006714C3" w:rsidRPr="007B6EE8">
        <w:rPr>
          <w:rFonts w:ascii="Arial" w:hAnsi="Arial" w:cs="Arial"/>
          <w:bCs/>
          <w:sz w:val="22"/>
          <w:szCs w:val="22"/>
          <w:lang w:val="sq-AL"/>
        </w:rPr>
        <w:t xml:space="preserve"> 2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001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>-</w:t>
      </w:r>
      <w:r w:rsidR="008914A4" w:rsidRPr="007B6EE8">
        <w:rPr>
          <w:rFonts w:ascii="Arial" w:hAnsi="Arial" w:cs="Arial"/>
          <w:bCs/>
          <w:sz w:val="22"/>
          <w:szCs w:val="22"/>
          <w:lang w:val="sq-AL"/>
        </w:rPr>
        <w:t>VI)</w:t>
      </w:r>
      <w:r w:rsidR="006714C3" w:rsidRPr="007B6EE8">
        <w:rPr>
          <w:rFonts w:ascii="Arial" w:hAnsi="Arial" w:cs="Arial"/>
          <w:bCs/>
          <w:sz w:val="22"/>
          <w:szCs w:val="22"/>
          <w:lang w:val="sq-AL"/>
        </w:rPr>
        <w:t>.</w:t>
      </w:r>
    </w:p>
    <w:p w:rsidR="00655F12" w:rsidRPr="00B823AC" w:rsidRDefault="00655F12" w:rsidP="001C621A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873CF4" w:rsidP="001C62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Megjithatë, kjo e drejtë nuk është absolute dhe mund </w:t>
      </w:r>
      <w:r w:rsidR="00103BBB" w:rsidRPr="00B823AC">
        <w:rPr>
          <w:rFonts w:ascii="Arial" w:hAnsi="Arial" w:cs="Arial"/>
          <w:bCs/>
          <w:sz w:val="22"/>
          <w:szCs w:val="22"/>
          <w:lang w:val="sq-AL"/>
        </w:rPr>
        <w:t xml:space="preserve">t’i nënshtrohet kufizimeve.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Gara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ntimi për palët 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të drejtë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>n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efektive 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në qasje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 gjykatë për përcaktimin e 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>“</w:t>
      </w:r>
      <w:r w:rsidRPr="00B823AC">
        <w:rPr>
          <w:rFonts w:ascii="Arial" w:hAnsi="Arial" w:cs="Arial"/>
          <w:bCs/>
          <w:sz w:val="22"/>
          <w:szCs w:val="22"/>
          <w:lang w:val="sq-AL"/>
        </w:rPr>
        <w:t>të drejtave civile dhe detyrim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eve” 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tyre, neni 6 § 1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, i lë </w:t>
      </w:r>
      <w:r w:rsidR="008758E4" w:rsidRPr="00B823AC">
        <w:rPr>
          <w:rFonts w:ascii="Arial" w:hAnsi="Arial" w:cs="Arial"/>
          <w:bCs/>
          <w:sz w:val="22"/>
          <w:szCs w:val="22"/>
          <w:lang w:val="sq-AL"/>
        </w:rPr>
        <w:t xml:space="preserve">autoriteteve 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një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zgjedhje 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lirë 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rreth mënyrave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që do të përdoren për këtë qëllim. Megjithatë, kufizimet e zbatuara nuk duhet të kufizojnë apo reduktojnë qasjen </w:t>
      </w:r>
      <w:r w:rsidR="00BD1E40" w:rsidRPr="00B823AC">
        <w:rPr>
          <w:rFonts w:ascii="Arial" w:hAnsi="Arial" w:cs="Arial"/>
          <w:bCs/>
          <w:sz w:val="22"/>
          <w:szCs w:val="22"/>
          <w:lang w:val="sq-AL"/>
        </w:rPr>
        <w:t xml:space="preserve">që iu është ofruar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apli</w:t>
      </w:r>
      <w:r w:rsidR="00BD1E40" w:rsidRPr="00B823AC">
        <w:rPr>
          <w:rFonts w:ascii="Arial" w:hAnsi="Arial" w:cs="Arial"/>
          <w:bCs/>
          <w:sz w:val="22"/>
          <w:szCs w:val="22"/>
          <w:lang w:val="sq-AL"/>
        </w:rPr>
        <w:t>kuesit</w:t>
      </w:r>
      <w:proofErr w:type="spellEnd"/>
      <w:r w:rsidR="00BD1E40"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 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atë mënyrë apo në atë masë sa që 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>esenca e k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ësaj të drejte 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të dëmtohej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(shih </w:t>
      </w:r>
      <w:proofErr w:type="spellStart"/>
      <w:r w:rsidRPr="00B823AC">
        <w:rPr>
          <w:rFonts w:ascii="Arial" w:hAnsi="Arial" w:cs="Arial"/>
          <w:bCs/>
          <w:i/>
          <w:sz w:val="22"/>
          <w:szCs w:val="22"/>
          <w:lang w:val="sq-AL"/>
        </w:rPr>
        <w:t>Kreuz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, 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 xml:space="preserve">i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cituar më lart</w:t>
      </w:r>
      <w:r w:rsidR="007417C4" w:rsidRPr="00B823AC">
        <w:rPr>
          <w:rFonts w:ascii="Arial" w:hAnsi="Arial" w:cs="Arial"/>
          <w:bCs/>
          <w:sz w:val="22"/>
          <w:szCs w:val="22"/>
          <w:lang w:val="sq-AL"/>
        </w:rPr>
        <w:t>ë</w:t>
      </w:r>
      <w:r w:rsidRPr="00B823AC">
        <w:rPr>
          <w:rFonts w:ascii="Arial" w:hAnsi="Arial" w:cs="Arial"/>
          <w:bCs/>
          <w:sz w:val="22"/>
          <w:szCs w:val="22"/>
          <w:lang w:val="sq-AL"/>
        </w:rPr>
        <w:t>, §§ 53-54).</w:t>
      </w:r>
    </w:p>
    <w:p w:rsidR="00655F12" w:rsidRPr="00B823AC" w:rsidRDefault="00655F12" w:rsidP="003D3F08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655F12" w:rsidRPr="00B823AC" w:rsidRDefault="00873CF4" w:rsidP="004824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>Paneli thekson se kërkes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për të siguruar përkthi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min e dokumenteve përkatëse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 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gjuhën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an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gleze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mund të përbëjë një barrë të rëndë për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 disa 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 xml:space="preserve">ankues, 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p.sh. për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ankues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in, i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cili është një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 person i papunë i </w:t>
      </w:r>
      <w:proofErr w:type="spellStart"/>
      <w:r w:rsidR="003E0132" w:rsidRPr="00B823AC">
        <w:rPr>
          <w:rFonts w:ascii="Arial" w:hAnsi="Arial" w:cs="Arial"/>
          <w:bCs/>
          <w:sz w:val="22"/>
          <w:szCs w:val="22"/>
          <w:lang w:val="sq-AL"/>
        </w:rPr>
        <w:t>ZhVBV</w:t>
      </w:r>
      <w:proofErr w:type="spellEnd"/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 dhe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jeton 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me asistencë modeste sociale. Përveç kësaj,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dispozitat e Ligjit n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r.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04/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>l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-033 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janë gjetur se nuk janë në harmoni me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Kushtetutën dhe Ligjin e Kosovës për përdorimin e gjuhëve, të cilat të dyja</w:t>
      </w:r>
      <w:r w:rsidR="003D3F08" w:rsidRPr="00B823AC">
        <w:rPr>
          <w:rFonts w:ascii="Arial" w:hAnsi="Arial" w:cs="Arial"/>
          <w:bCs/>
          <w:sz w:val="22"/>
          <w:szCs w:val="22"/>
          <w:lang w:val="sq-AL"/>
        </w:rPr>
        <w:t xml:space="preserve"> këto 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 xml:space="preserve">parashohin se </w:t>
      </w:r>
      <w:r w:rsidR="003D3F08" w:rsidRPr="00B823AC">
        <w:rPr>
          <w:rFonts w:ascii="Arial" w:hAnsi="Arial" w:cs="Arial"/>
          <w:bCs/>
          <w:sz w:val="22"/>
          <w:szCs w:val="22"/>
          <w:lang w:val="sq-AL"/>
        </w:rPr>
        <w:t>gjuha shqipe dhe serbe j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anë gjuhë zyrtare në Kosovë, 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 xml:space="preserve">të cilat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përdo</w:t>
      </w:r>
      <w:r w:rsidR="003D3F08" w:rsidRPr="00B823AC">
        <w:rPr>
          <w:rFonts w:ascii="Arial" w:hAnsi="Arial" w:cs="Arial"/>
          <w:bCs/>
          <w:sz w:val="22"/>
          <w:szCs w:val="22"/>
          <w:lang w:val="sq-AL"/>
        </w:rPr>
        <w:t xml:space="preserve">ren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në të gjitha institucion</w:t>
      </w:r>
      <w:r w:rsidR="003D3F08" w:rsidRPr="00B823AC">
        <w:rPr>
          <w:rFonts w:ascii="Arial" w:hAnsi="Arial" w:cs="Arial"/>
          <w:bCs/>
          <w:sz w:val="22"/>
          <w:szCs w:val="22"/>
          <w:lang w:val="sq-AL"/>
        </w:rPr>
        <w:t xml:space="preserve">et e saj.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Rrjedhimisht, ligji </w:t>
      </w:r>
      <w:r w:rsidR="003D3F08" w:rsidRPr="00B823AC">
        <w:rPr>
          <w:rFonts w:ascii="Arial" w:hAnsi="Arial" w:cs="Arial"/>
          <w:bCs/>
          <w:sz w:val="22"/>
          <w:szCs w:val="22"/>
          <w:lang w:val="sq-AL"/>
        </w:rPr>
        <w:t xml:space="preserve">është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ndryshua</w:t>
      </w:r>
      <w:r w:rsidR="003D3F08" w:rsidRPr="00B823AC">
        <w:rPr>
          <w:rFonts w:ascii="Arial" w:hAnsi="Arial" w:cs="Arial"/>
          <w:bCs/>
          <w:sz w:val="22"/>
          <w:szCs w:val="22"/>
          <w:lang w:val="sq-AL"/>
        </w:rPr>
        <w:t>r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në </w:t>
      </w:r>
      <w:r w:rsidR="003D3F08" w:rsidRPr="00B823AC">
        <w:rPr>
          <w:rFonts w:ascii="Arial" w:hAnsi="Arial" w:cs="Arial"/>
          <w:bCs/>
          <w:sz w:val="22"/>
          <w:szCs w:val="22"/>
          <w:lang w:val="sq-AL"/>
        </w:rPr>
        <w:t xml:space="preserve">atë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mënyrë që përputhet me kërkesat kushtetuese. Kjo nuk do të duket se </w:t>
      </w:r>
      <w:r w:rsidR="003D3F08" w:rsidRPr="00B823AC">
        <w:rPr>
          <w:rFonts w:ascii="Arial" w:hAnsi="Arial" w:cs="Arial"/>
          <w:bCs/>
          <w:sz w:val="22"/>
          <w:szCs w:val="22"/>
          <w:lang w:val="sq-AL"/>
        </w:rPr>
        <w:t xml:space="preserve">amendamentet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do të ketë ndonjë ndikim në situatën e tanishme </w:t>
      </w:r>
      <w:r w:rsidR="003D3F08" w:rsidRPr="00B823AC">
        <w:rPr>
          <w:rFonts w:ascii="Arial" w:hAnsi="Arial" w:cs="Arial"/>
          <w:bCs/>
          <w:sz w:val="22"/>
          <w:szCs w:val="22"/>
          <w:lang w:val="sq-AL"/>
        </w:rPr>
        <w:t xml:space="preserve">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ankuesit.</w:t>
      </w:r>
    </w:p>
    <w:p w:rsidR="00655F12" w:rsidRPr="00B823AC" w:rsidRDefault="00655F12" w:rsidP="004824A7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873CF4" w:rsidRPr="00B823AC" w:rsidRDefault="00873CF4" w:rsidP="004824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>Megjithatë</w:t>
      </w:r>
      <w:r w:rsidR="003E0132"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Paneli vëren se vendimi i marrë nga gjyqtari 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 xml:space="preserve">i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PGJS</w:t>
      </w:r>
      <w:proofErr w:type="spellEnd"/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-së së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EULEX-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it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nuk 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i ka dhënë fund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procedurë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>s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. Rasti kryesor 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në fakt është 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 xml:space="preserve">ende i pazgjidhur dhe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do të vendoset në një fazë të mëvonshme. Në këtë rast, ka një dallim me rastin </w:t>
      </w:r>
      <w:proofErr w:type="spellStart"/>
      <w:r w:rsidRPr="00B823AC">
        <w:rPr>
          <w:rFonts w:ascii="Arial" w:hAnsi="Arial" w:cs="Arial"/>
          <w:bCs/>
          <w:i/>
          <w:sz w:val="22"/>
          <w:szCs w:val="22"/>
          <w:lang w:val="sq-AL"/>
        </w:rPr>
        <w:t>Kreuz</w:t>
      </w:r>
      <w:proofErr w:type="spellEnd"/>
      <w:r w:rsidR="00DB6525" w:rsidRPr="00B823AC">
        <w:rPr>
          <w:rFonts w:ascii="Arial" w:hAnsi="Arial" w:cs="Arial"/>
          <w:bCs/>
          <w:sz w:val="22"/>
          <w:szCs w:val="22"/>
          <w:lang w:val="sq-AL"/>
        </w:rPr>
        <w:t>,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të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cituar më lart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>ë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 në par. 23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, në atë se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inicimi i procedurës 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pranë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PGJS</w:t>
      </w:r>
      <w:proofErr w:type="spellEnd"/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-së nuk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va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ret nga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pag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esa e ndonjë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tarife apo 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shpenzimi për përkthim, mirëpo ato vetëm se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janë vonua</w:t>
      </w:r>
      <w:r w:rsidR="00DB6525" w:rsidRPr="00B823AC">
        <w:rPr>
          <w:rFonts w:ascii="Arial" w:hAnsi="Arial" w:cs="Arial"/>
          <w:bCs/>
          <w:sz w:val="22"/>
          <w:szCs w:val="22"/>
          <w:lang w:val="sq-AL"/>
        </w:rPr>
        <w:t xml:space="preserve">r. </w:t>
      </w:r>
      <w:r w:rsidR="004824A7" w:rsidRPr="00B823AC">
        <w:rPr>
          <w:rFonts w:ascii="Arial" w:hAnsi="Arial" w:cs="Arial"/>
          <w:bCs/>
          <w:sz w:val="22"/>
          <w:szCs w:val="22"/>
          <w:lang w:val="sq-AL"/>
        </w:rPr>
        <w:t xml:space="preserve">Del se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vendim</w:t>
      </w:r>
      <w:r w:rsidR="004824A7" w:rsidRPr="00B823AC">
        <w:rPr>
          <w:rFonts w:ascii="Arial" w:hAnsi="Arial" w:cs="Arial"/>
          <w:bCs/>
          <w:sz w:val="22"/>
          <w:szCs w:val="22"/>
          <w:lang w:val="sq-AL"/>
        </w:rPr>
        <w:t xml:space="preserve">i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për të mos përjash</w:t>
      </w:r>
      <w:r w:rsidR="004824A7" w:rsidRPr="00B823AC">
        <w:rPr>
          <w:rFonts w:ascii="Arial" w:hAnsi="Arial" w:cs="Arial"/>
          <w:bCs/>
          <w:sz w:val="22"/>
          <w:szCs w:val="22"/>
          <w:lang w:val="sq-AL"/>
        </w:rPr>
        <w:t xml:space="preserve">tuar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parashtruesin e ankesës nga shpenzimet e procedurë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 xml:space="preserve">s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nuk shkel të drejtën e tij për të </w:t>
      </w:r>
      <w:r w:rsidR="004824A7" w:rsidRPr="00B823AC">
        <w:rPr>
          <w:rFonts w:ascii="Arial" w:hAnsi="Arial" w:cs="Arial"/>
          <w:bCs/>
          <w:sz w:val="22"/>
          <w:szCs w:val="22"/>
          <w:lang w:val="sq-AL"/>
        </w:rPr>
        <w:t xml:space="preserve">pasur qasje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 gjykatë (shih </w:t>
      </w:r>
      <w:proofErr w:type="spellStart"/>
      <w:r w:rsidRPr="00B823AC">
        <w:rPr>
          <w:rFonts w:ascii="Arial" w:hAnsi="Arial" w:cs="Arial"/>
          <w:bCs/>
          <w:i/>
          <w:sz w:val="22"/>
          <w:szCs w:val="22"/>
          <w:lang w:val="sq-AL"/>
        </w:rPr>
        <w:t>Urbanek</w:t>
      </w:r>
      <w:proofErr w:type="spellEnd"/>
      <w:r w:rsidRPr="00B823AC">
        <w:rPr>
          <w:rFonts w:ascii="Arial" w:hAnsi="Arial" w:cs="Arial"/>
          <w:bCs/>
          <w:i/>
          <w:sz w:val="22"/>
          <w:szCs w:val="22"/>
          <w:lang w:val="sq-AL"/>
        </w:rPr>
        <w:t xml:space="preserve"> </w:t>
      </w:r>
      <w:r w:rsidR="004824A7" w:rsidRPr="00B823AC">
        <w:rPr>
          <w:rFonts w:ascii="Arial" w:hAnsi="Arial" w:cs="Arial"/>
          <w:bCs/>
          <w:i/>
          <w:sz w:val="22"/>
          <w:szCs w:val="22"/>
          <w:lang w:val="sq-AL"/>
        </w:rPr>
        <w:t xml:space="preserve">kundër </w:t>
      </w:r>
      <w:r w:rsidRPr="00B823AC">
        <w:rPr>
          <w:rFonts w:ascii="Arial" w:hAnsi="Arial" w:cs="Arial"/>
          <w:bCs/>
          <w:i/>
          <w:sz w:val="22"/>
          <w:szCs w:val="22"/>
          <w:lang w:val="sq-AL"/>
        </w:rPr>
        <w:t>Austria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, nr. 35123/05, §§ 55-56, 9 dhjetor 2010). Për më tepër, kjo do të duket se meritat e </w:t>
      </w:r>
      <w:r w:rsidR="004824A7" w:rsidRPr="00B823AC">
        <w:rPr>
          <w:rFonts w:ascii="Arial" w:hAnsi="Arial" w:cs="Arial"/>
          <w:bCs/>
          <w:sz w:val="22"/>
          <w:szCs w:val="22"/>
          <w:lang w:val="sq-AL"/>
        </w:rPr>
        <w:t xml:space="preserve">ankesës së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ankuesit kundër vendimit në fjalë ende nuk </w:t>
      </w:r>
      <w:r w:rsidR="004824A7" w:rsidRPr="00B823AC">
        <w:rPr>
          <w:rFonts w:ascii="Arial" w:hAnsi="Arial" w:cs="Arial"/>
          <w:bCs/>
          <w:sz w:val="22"/>
          <w:szCs w:val="22"/>
          <w:lang w:val="sq-AL"/>
        </w:rPr>
        <w:t xml:space="preserve">janë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shqyrtuar.</w:t>
      </w:r>
    </w:p>
    <w:p w:rsidR="00655F12" w:rsidRPr="00B823AC" w:rsidRDefault="00655F12" w:rsidP="004824A7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873CF4" w:rsidRPr="00B823AC" w:rsidRDefault="00873CF4" w:rsidP="00AB29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Nëse ankesa e tij 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do të jetë e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pasuksessh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me,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ankuesi ka 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mundësinë ta </w:t>
      </w:r>
      <w:r w:rsidR="00D7798B">
        <w:rPr>
          <w:rFonts w:ascii="Arial" w:hAnsi="Arial" w:cs="Arial"/>
          <w:bCs/>
          <w:sz w:val="22"/>
          <w:szCs w:val="22"/>
          <w:lang w:val="sq-AL"/>
        </w:rPr>
        <w:t xml:space="preserve">paraqes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ankesë</w:t>
      </w:r>
      <w:r w:rsidR="00D7798B">
        <w:rPr>
          <w:rFonts w:ascii="Arial" w:hAnsi="Arial" w:cs="Arial"/>
          <w:bCs/>
          <w:sz w:val="22"/>
          <w:szCs w:val="22"/>
          <w:lang w:val="sq-AL"/>
        </w:rPr>
        <w:t xml:space="preserve">n e tij 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>pranë t</w:t>
      </w:r>
      <w:r w:rsidRPr="00B823AC">
        <w:rPr>
          <w:rFonts w:ascii="Arial" w:hAnsi="Arial" w:cs="Arial"/>
          <w:bCs/>
          <w:sz w:val="22"/>
          <w:szCs w:val="22"/>
          <w:lang w:val="sq-AL"/>
        </w:rPr>
        <w:t>rupit gjyku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es të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PGJS</w:t>
      </w:r>
      <w:proofErr w:type="spellEnd"/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-së. Atëherë do të merret një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vendim përfundimtar mbi shpenzim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et. </w:t>
      </w: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Ky vendim sipas nenit 12 të Ligjit të </w:t>
      </w:r>
      <w:proofErr w:type="spellStart"/>
      <w:r w:rsidRPr="00B823AC">
        <w:rPr>
          <w:rFonts w:ascii="Arial" w:hAnsi="Arial" w:cs="Arial"/>
          <w:bCs/>
          <w:sz w:val="22"/>
          <w:szCs w:val="22"/>
          <w:lang w:val="sq-AL"/>
        </w:rPr>
        <w:t>D</w:t>
      </w:r>
      <w:r w:rsidR="003B723E" w:rsidRPr="00B823AC">
        <w:rPr>
          <w:rFonts w:ascii="Arial" w:hAnsi="Arial" w:cs="Arial"/>
          <w:bCs/>
          <w:sz w:val="22"/>
          <w:szCs w:val="22"/>
          <w:lang w:val="sq-AL"/>
        </w:rPr>
        <w:t>h</w:t>
      </w:r>
      <w:r w:rsidRPr="00B823AC">
        <w:rPr>
          <w:rFonts w:ascii="Arial" w:hAnsi="Arial" w:cs="Arial"/>
          <w:bCs/>
          <w:sz w:val="22"/>
          <w:szCs w:val="22"/>
          <w:lang w:val="sq-AL"/>
        </w:rPr>
        <w:t>PGJS</w:t>
      </w:r>
      <w:proofErr w:type="spellEnd"/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-së mund të jetë në favor të </w:t>
      </w:r>
      <w:r w:rsidR="00D0378A" w:rsidRPr="00B823AC">
        <w:rPr>
          <w:rFonts w:ascii="Arial" w:hAnsi="Arial" w:cs="Arial"/>
          <w:bCs/>
          <w:sz w:val="22"/>
          <w:szCs w:val="22"/>
          <w:lang w:val="sq-AL"/>
        </w:rPr>
        <w:t xml:space="preserve">ankuesit, i cili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më pas mund të mos je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të i </w:t>
      </w:r>
      <w:r w:rsidRPr="00B823AC">
        <w:rPr>
          <w:rFonts w:ascii="Arial" w:hAnsi="Arial" w:cs="Arial"/>
          <w:bCs/>
          <w:sz w:val="22"/>
          <w:szCs w:val="22"/>
          <w:lang w:val="sq-AL"/>
        </w:rPr>
        <w:t>detyruar të bartë shpenzimet.</w:t>
      </w:r>
    </w:p>
    <w:p w:rsidR="00655F12" w:rsidRPr="00B823AC" w:rsidRDefault="00655F12" w:rsidP="00AB29F5">
      <w:pPr>
        <w:jc w:val="both"/>
        <w:rPr>
          <w:rFonts w:ascii="Arial" w:hAnsi="Arial" w:cs="Arial"/>
          <w:bCs/>
          <w:sz w:val="22"/>
          <w:szCs w:val="22"/>
          <w:lang w:val="sq-AL"/>
        </w:rPr>
      </w:pPr>
    </w:p>
    <w:p w:rsidR="00873CF4" w:rsidRPr="00B823AC" w:rsidRDefault="0003291E" w:rsidP="00AB29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bCs/>
          <w:sz w:val="22"/>
          <w:szCs w:val="22"/>
          <w:lang w:val="sq-AL"/>
        </w:rPr>
        <w:t xml:space="preserve">Kjo bën që </w:t>
      </w:r>
      <w:r w:rsidR="00873CF4" w:rsidRPr="00B823AC">
        <w:rPr>
          <w:rFonts w:ascii="Arial" w:hAnsi="Arial" w:cs="Arial"/>
          <w:bCs/>
          <w:sz w:val="22"/>
          <w:szCs w:val="22"/>
          <w:lang w:val="sq-AL"/>
        </w:rPr>
        <w:t>ankes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a e </w:t>
      </w:r>
      <w:r w:rsidR="00873CF4" w:rsidRPr="00B823AC">
        <w:rPr>
          <w:rFonts w:ascii="Arial" w:hAnsi="Arial" w:cs="Arial"/>
          <w:bCs/>
          <w:sz w:val="22"/>
          <w:szCs w:val="22"/>
          <w:lang w:val="sq-AL"/>
        </w:rPr>
        <w:t xml:space="preserve">tij 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parashtruar </w:t>
      </w:r>
      <w:r w:rsidR="00873CF4" w:rsidRPr="00B823AC">
        <w:rPr>
          <w:rFonts w:ascii="Arial" w:hAnsi="Arial" w:cs="Arial"/>
          <w:bCs/>
          <w:sz w:val="22"/>
          <w:szCs w:val="22"/>
          <w:lang w:val="sq-AL"/>
        </w:rPr>
        <w:t>Panel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it të jetë e </w:t>
      </w:r>
      <w:r w:rsidR="00873CF4" w:rsidRPr="00B823AC">
        <w:rPr>
          <w:rFonts w:ascii="Arial" w:hAnsi="Arial" w:cs="Arial"/>
          <w:bCs/>
          <w:sz w:val="22"/>
          <w:szCs w:val="22"/>
          <w:lang w:val="sq-AL"/>
        </w:rPr>
        <w:t>parakohshme, pranda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 xml:space="preserve">j Paneli konstaton se </w:t>
      </w:r>
      <w:r w:rsidR="00873CF4" w:rsidRPr="00B823AC">
        <w:rPr>
          <w:rFonts w:ascii="Arial" w:hAnsi="Arial" w:cs="Arial"/>
          <w:bCs/>
          <w:sz w:val="22"/>
          <w:szCs w:val="22"/>
          <w:lang w:val="sq-AL"/>
        </w:rPr>
        <w:t>tani për tan</w:t>
      </w:r>
      <w:r w:rsidR="00AB29F5" w:rsidRPr="00B823AC">
        <w:rPr>
          <w:rFonts w:ascii="Arial" w:hAnsi="Arial" w:cs="Arial"/>
          <w:bCs/>
          <w:sz w:val="22"/>
          <w:szCs w:val="22"/>
          <w:lang w:val="sq-AL"/>
        </w:rPr>
        <w:t>i kjo ankesë është e p</w:t>
      </w:r>
      <w:r w:rsidR="00873CF4" w:rsidRPr="00B823AC">
        <w:rPr>
          <w:rFonts w:ascii="Arial" w:hAnsi="Arial" w:cs="Arial"/>
          <w:bCs/>
          <w:sz w:val="22"/>
          <w:szCs w:val="22"/>
          <w:lang w:val="sq-AL"/>
        </w:rPr>
        <w:t>apranueshme.</w:t>
      </w:r>
    </w:p>
    <w:p w:rsidR="004A7CF7" w:rsidRPr="00B823AC" w:rsidRDefault="004A7CF7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AB29F5" w:rsidRPr="00B823AC" w:rsidRDefault="00AB29F5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873CF4" w:rsidRPr="00B823AC" w:rsidRDefault="004B35BD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b/>
          <w:sz w:val="22"/>
          <w:szCs w:val="22"/>
          <w:lang w:val="sq-AL"/>
        </w:rPr>
        <w:t>PËR KËTO ARSYE,</w:t>
      </w:r>
    </w:p>
    <w:p w:rsidR="00873CF4" w:rsidRPr="00B823AC" w:rsidRDefault="00873CF4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4B35BD" w:rsidRPr="00B823AC" w:rsidRDefault="00873CF4" w:rsidP="00AB29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Paneli njëzëri</w:t>
      </w:r>
      <w:r w:rsidR="00AB29F5" w:rsidRPr="00B823AC">
        <w:rPr>
          <w:rFonts w:ascii="Arial" w:hAnsi="Arial" w:cs="Arial"/>
          <w:sz w:val="22"/>
          <w:szCs w:val="22"/>
          <w:lang w:val="sq-AL"/>
        </w:rPr>
        <w:t>,</w:t>
      </w:r>
    </w:p>
    <w:p w:rsidR="004B35BD" w:rsidRPr="00B823AC" w:rsidRDefault="004B35BD" w:rsidP="00AB29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99724E" w:rsidRPr="00B823AC" w:rsidRDefault="0099724E" w:rsidP="00AB29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FB365A" w:rsidRPr="00B823AC" w:rsidRDefault="00873CF4" w:rsidP="00AB29F5">
      <w:pPr>
        <w:tabs>
          <w:tab w:val="left" w:pos="459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B823AC">
        <w:rPr>
          <w:rFonts w:ascii="Arial" w:hAnsi="Arial" w:cs="Arial"/>
          <w:b/>
          <w:sz w:val="22"/>
          <w:szCs w:val="22"/>
          <w:lang w:val="sq-AL"/>
        </w:rPr>
        <w:t>SHPALL ANKESËN TË PAPRANUESHME.</w:t>
      </w:r>
    </w:p>
    <w:p w:rsidR="0028194F" w:rsidRPr="00B823AC" w:rsidRDefault="0028194F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28194F" w:rsidRPr="00B823AC" w:rsidRDefault="0028194F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28194F" w:rsidRPr="00B823AC" w:rsidRDefault="0028194F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FB365A" w:rsidRPr="00B823AC" w:rsidRDefault="00FB365A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28194F" w:rsidRPr="00B823AC" w:rsidRDefault="0028194F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4A7CF7" w:rsidRPr="00B823AC" w:rsidRDefault="004A7CF7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4A7CF7" w:rsidRPr="00B823AC" w:rsidRDefault="0028194F" w:rsidP="00AB29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 xml:space="preserve">John </w:t>
      </w:r>
      <w:r w:rsidR="003F095C" w:rsidRPr="00B823AC">
        <w:rPr>
          <w:rFonts w:ascii="Arial" w:hAnsi="Arial" w:cs="Arial"/>
          <w:sz w:val="22"/>
          <w:szCs w:val="22"/>
          <w:lang w:val="sq-AL"/>
        </w:rPr>
        <w:t xml:space="preserve">J. </w:t>
      </w:r>
      <w:r w:rsidRPr="00B823AC">
        <w:rPr>
          <w:rFonts w:ascii="Arial" w:hAnsi="Arial" w:cs="Arial"/>
          <w:sz w:val="22"/>
          <w:szCs w:val="22"/>
          <w:lang w:val="sq-AL"/>
        </w:rPr>
        <w:t>RYAN</w:t>
      </w:r>
      <w:r w:rsidR="004A7CF7" w:rsidRPr="00B823AC">
        <w:rPr>
          <w:rFonts w:ascii="Arial" w:hAnsi="Arial" w:cs="Arial"/>
          <w:sz w:val="22"/>
          <w:szCs w:val="22"/>
          <w:lang w:val="sq-AL"/>
        </w:rPr>
        <w:tab/>
      </w:r>
      <w:r w:rsidR="004A7CF7" w:rsidRPr="00B823AC">
        <w:rPr>
          <w:rFonts w:ascii="Arial" w:hAnsi="Arial" w:cs="Arial"/>
          <w:sz w:val="22"/>
          <w:szCs w:val="22"/>
          <w:lang w:val="sq-AL"/>
        </w:rPr>
        <w:tab/>
        <w:t xml:space="preserve">       </w:t>
      </w:r>
      <w:r w:rsidR="00BD65A3" w:rsidRPr="00B823AC">
        <w:rPr>
          <w:rFonts w:ascii="Arial" w:hAnsi="Arial" w:cs="Arial"/>
          <w:sz w:val="22"/>
          <w:szCs w:val="22"/>
          <w:lang w:val="sq-AL"/>
        </w:rPr>
        <w:t xml:space="preserve">                          </w:t>
      </w:r>
      <w:r w:rsidRPr="00B823AC">
        <w:rPr>
          <w:rFonts w:ascii="Arial" w:hAnsi="Arial" w:cs="Arial"/>
          <w:sz w:val="22"/>
          <w:szCs w:val="22"/>
          <w:lang w:val="sq-AL"/>
        </w:rPr>
        <w:tab/>
      </w:r>
      <w:r w:rsidRPr="00B823AC">
        <w:rPr>
          <w:rFonts w:ascii="Arial" w:hAnsi="Arial" w:cs="Arial"/>
          <w:sz w:val="22"/>
          <w:szCs w:val="22"/>
          <w:lang w:val="sq-AL"/>
        </w:rPr>
        <w:tab/>
      </w:r>
      <w:r w:rsidR="00BD65A3" w:rsidRPr="00B823AC">
        <w:rPr>
          <w:rFonts w:ascii="Arial" w:hAnsi="Arial" w:cs="Arial"/>
          <w:sz w:val="22"/>
          <w:szCs w:val="22"/>
          <w:lang w:val="sq-AL"/>
        </w:rPr>
        <w:t xml:space="preserve"> Magda MIERZEWSKA</w:t>
      </w:r>
    </w:p>
    <w:p w:rsidR="004A7CF7" w:rsidRPr="00B823AC" w:rsidRDefault="00FB365A" w:rsidP="00AB29F5">
      <w:pPr>
        <w:autoSpaceDE w:val="0"/>
        <w:autoSpaceDN w:val="0"/>
        <w:adjustRightInd w:val="0"/>
        <w:jc w:val="both"/>
        <w:rPr>
          <w:sz w:val="26"/>
          <w:szCs w:val="26"/>
          <w:lang w:val="sq-AL"/>
        </w:rPr>
      </w:pPr>
      <w:r w:rsidRPr="00B823AC">
        <w:rPr>
          <w:rFonts w:ascii="Arial" w:hAnsi="Arial" w:cs="Arial"/>
          <w:sz w:val="22"/>
          <w:szCs w:val="22"/>
          <w:lang w:val="sq-AL"/>
        </w:rPr>
        <w:t>Zyrtar i lartë ligjor</w:t>
      </w:r>
      <w:r w:rsidR="004A7CF7" w:rsidRPr="00B823AC">
        <w:rPr>
          <w:rFonts w:ascii="Arial" w:hAnsi="Arial" w:cs="Arial"/>
          <w:sz w:val="22"/>
          <w:szCs w:val="22"/>
          <w:lang w:val="sq-AL"/>
        </w:rPr>
        <w:t xml:space="preserve"> </w:t>
      </w:r>
      <w:r w:rsidR="004A7CF7" w:rsidRPr="00B823AC">
        <w:rPr>
          <w:rFonts w:ascii="Arial" w:hAnsi="Arial" w:cs="Arial"/>
          <w:sz w:val="22"/>
          <w:szCs w:val="22"/>
          <w:lang w:val="sq-AL"/>
        </w:rPr>
        <w:tab/>
      </w:r>
      <w:r w:rsidR="004A7CF7" w:rsidRPr="00B823AC">
        <w:rPr>
          <w:rFonts w:ascii="Arial" w:hAnsi="Arial" w:cs="Arial"/>
          <w:sz w:val="22"/>
          <w:szCs w:val="22"/>
          <w:lang w:val="sq-AL"/>
        </w:rPr>
        <w:tab/>
      </w:r>
      <w:r w:rsidR="004A7CF7" w:rsidRPr="00B823AC">
        <w:rPr>
          <w:rFonts w:ascii="Arial" w:hAnsi="Arial" w:cs="Arial"/>
          <w:sz w:val="22"/>
          <w:szCs w:val="22"/>
          <w:lang w:val="sq-AL"/>
        </w:rPr>
        <w:tab/>
      </w:r>
      <w:r w:rsidR="004A7CF7" w:rsidRPr="00B823AC">
        <w:rPr>
          <w:rFonts w:ascii="Arial" w:hAnsi="Arial" w:cs="Arial"/>
          <w:sz w:val="22"/>
          <w:szCs w:val="22"/>
          <w:lang w:val="sq-AL"/>
        </w:rPr>
        <w:tab/>
      </w:r>
      <w:r w:rsidR="0028194F" w:rsidRPr="00B823AC">
        <w:rPr>
          <w:rFonts w:ascii="Arial" w:hAnsi="Arial" w:cs="Arial"/>
          <w:sz w:val="22"/>
          <w:szCs w:val="22"/>
          <w:lang w:val="sq-AL"/>
        </w:rPr>
        <w:tab/>
        <w:t xml:space="preserve"> </w:t>
      </w:r>
      <w:r w:rsidRPr="00B823AC">
        <w:rPr>
          <w:rFonts w:ascii="Arial" w:hAnsi="Arial" w:cs="Arial"/>
          <w:sz w:val="22"/>
          <w:szCs w:val="22"/>
          <w:lang w:val="sq-AL"/>
        </w:rPr>
        <w:t>Kryesuese</w:t>
      </w:r>
      <w:bookmarkStart w:id="0" w:name="_GoBack"/>
      <w:bookmarkEnd w:id="0"/>
    </w:p>
    <w:sectPr w:rsidR="004A7CF7" w:rsidRPr="00B823AC" w:rsidSect="00560A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97" w:bottom="1440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12" w:rsidRDefault="003C5612">
      <w:r>
        <w:separator/>
      </w:r>
    </w:p>
  </w:endnote>
  <w:endnote w:type="continuationSeparator" w:id="0">
    <w:p w:rsidR="003C5612" w:rsidRDefault="003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A4" w:rsidRDefault="008914A4" w:rsidP="00567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4A4" w:rsidRDefault="008914A4" w:rsidP="001D0F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A4" w:rsidRDefault="008914A4" w:rsidP="00567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3EC">
      <w:rPr>
        <w:rStyle w:val="PageNumber"/>
        <w:noProof/>
      </w:rPr>
      <w:t>7</w:t>
    </w:r>
    <w:r>
      <w:rPr>
        <w:rStyle w:val="PageNumber"/>
      </w:rPr>
      <w:fldChar w:fldCharType="end"/>
    </w:r>
  </w:p>
  <w:p w:rsidR="008914A4" w:rsidRDefault="008914A4" w:rsidP="001D0F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A4" w:rsidRPr="00560A47" w:rsidRDefault="008914A4" w:rsidP="0069378B">
    <w:pPr>
      <w:pStyle w:val="Footer"/>
      <w:ind w:right="360"/>
      <w:rPr>
        <w:lang w:val="it-IT"/>
      </w:rPr>
    </w:pPr>
  </w:p>
  <w:p w:rsidR="008914A4" w:rsidRPr="00560A47" w:rsidRDefault="008914A4" w:rsidP="00F67EDB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12" w:rsidRDefault="003C5612">
      <w:r>
        <w:separator/>
      </w:r>
    </w:p>
  </w:footnote>
  <w:footnote w:type="continuationSeparator" w:id="0">
    <w:p w:rsidR="003C5612" w:rsidRDefault="003C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A4" w:rsidRDefault="008914A4" w:rsidP="00391BB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A4" w:rsidRDefault="008914A4" w:rsidP="001D0F3B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6289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548"/>
    <w:multiLevelType w:val="multilevel"/>
    <w:tmpl w:val="7704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13210"/>
    <w:multiLevelType w:val="multilevel"/>
    <w:tmpl w:val="323EF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56E718B"/>
    <w:multiLevelType w:val="hybridMultilevel"/>
    <w:tmpl w:val="62002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36349"/>
    <w:multiLevelType w:val="hybridMultilevel"/>
    <w:tmpl w:val="02944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C8F"/>
    <w:multiLevelType w:val="hybridMultilevel"/>
    <w:tmpl w:val="CF020A06"/>
    <w:lvl w:ilvl="0" w:tplc="6AA0F33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12BD"/>
    <w:multiLevelType w:val="hybridMultilevel"/>
    <w:tmpl w:val="B8C845C2"/>
    <w:lvl w:ilvl="0" w:tplc="814E0660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Times New Roman" w:eastAsia="Times New Roman" w:hAnsi="Times New Roman" w:hint="default"/>
      </w:rPr>
    </w:lvl>
    <w:lvl w:ilvl="1" w:tplc="25A4463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1607F3"/>
    <w:multiLevelType w:val="hybridMultilevel"/>
    <w:tmpl w:val="7CA43B52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814E0660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96FB5"/>
    <w:multiLevelType w:val="hybridMultilevel"/>
    <w:tmpl w:val="90127B86"/>
    <w:lvl w:ilvl="0" w:tplc="46BAC94A">
      <w:start w:val="1"/>
      <w:numFmt w:val="upperRoman"/>
      <w:lvlText w:val="%1."/>
      <w:lvlJc w:val="left"/>
      <w:pPr>
        <w:ind w:left="6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>
    <w:nsid w:val="286A3737"/>
    <w:multiLevelType w:val="hybridMultilevel"/>
    <w:tmpl w:val="FA72ACE8"/>
    <w:lvl w:ilvl="0" w:tplc="814E0660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Times New Roman" w:eastAsia="Times New Roman" w:hAnsi="Times New Roman" w:hint="default"/>
      </w:rPr>
    </w:lvl>
    <w:lvl w:ilvl="1" w:tplc="25A44636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D7632D7"/>
    <w:multiLevelType w:val="hybridMultilevel"/>
    <w:tmpl w:val="82C2EC96"/>
    <w:lvl w:ilvl="0" w:tplc="56FEE9C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802FE"/>
    <w:multiLevelType w:val="hybridMultilevel"/>
    <w:tmpl w:val="1E70F00A"/>
    <w:lvl w:ilvl="0" w:tplc="814E0660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Times New Roman" w:eastAsia="Times New Roman" w:hAnsi="Times New Roman" w:hint="default"/>
      </w:rPr>
    </w:lvl>
    <w:lvl w:ilvl="1" w:tplc="5DF84DA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7C2CC2"/>
    <w:multiLevelType w:val="hybridMultilevel"/>
    <w:tmpl w:val="77045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106029"/>
    <w:multiLevelType w:val="hybridMultilevel"/>
    <w:tmpl w:val="AABEB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F42564"/>
    <w:multiLevelType w:val="hybridMultilevel"/>
    <w:tmpl w:val="5C220926"/>
    <w:lvl w:ilvl="0" w:tplc="814E0660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3F5770"/>
    <w:multiLevelType w:val="hybridMultilevel"/>
    <w:tmpl w:val="5A4CABBA"/>
    <w:lvl w:ilvl="0" w:tplc="08C00F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046A19"/>
    <w:multiLevelType w:val="hybridMultilevel"/>
    <w:tmpl w:val="F202E0AC"/>
    <w:lvl w:ilvl="0" w:tplc="39E6BAD4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7958F8"/>
    <w:multiLevelType w:val="multilevel"/>
    <w:tmpl w:val="14CC1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54697B72"/>
    <w:multiLevelType w:val="multilevel"/>
    <w:tmpl w:val="1CC8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BA51F1"/>
    <w:multiLevelType w:val="hybridMultilevel"/>
    <w:tmpl w:val="38347F32"/>
    <w:lvl w:ilvl="0" w:tplc="F0EE7F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F5E20"/>
    <w:multiLevelType w:val="hybridMultilevel"/>
    <w:tmpl w:val="5980117A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814E0660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6D2A0A"/>
    <w:multiLevelType w:val="multilevel"/>
    <w:tmpl w:val="AABE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2604E"/>
    <w:multiLevelType w:val="hybridMultilevel"/>
    <w:tmpl w:val="323EF8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54AA8AB6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6FE201BB"/>
    <w:multiLevelType w:val="hybridMultilevel"/>
    <w:tmpl w:val="4FD05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469D0"/>
    <w:multiLevelType w:val="hybridMultilevel"/>
    <w:tmpl w:val="1CC86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E426B4"/>
    <w:multiLevelType w:val="multilevel"/>
    <w:tmpl w:val="FBFEFA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72FC0E91"/>
    <w:multiLevelType w:val="hybridMultilevel"/>
    <w:tmpl w:val="016260C2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323B5D"/>
    <w:multiLevelType w:val="hybridMultilevel"/>
    <w:tmpl w:val="A38E2C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317341"/>
    <w:multiLevelType w:val="hybridMultilevel"/>
    <w:tmpl w:val="50E4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5"/>
  </w:num>
  <w:num w:numId="6">
    <w:abstractNumId w:val="23"/>
  </w:num>
  <w:num w:numId="7">
    <w:abstractNumId w:val="17"/>
  </w:num>
  <w:num w:numId="8">
    <w:abstractNumId w:val="12"/>
  </w:num>
  <w:num w:numId="9">
    <w:abstractNumId w:val="20"/>
  </w:num>
  <w:num w:numId="10">
    <w:abstractNumId w:val="21"/>
  </w:num>
  <w:num w:numId="11">
    <w:abstractNumId w:val="24"/>
  </w:num>
  <w:num w:numId="12">
    <w:abstractNumId w:val="16"/>
  </w:num>
  <w:num w:numId="13">
    <w:abstractNumId w:val="1"/>
  </w:num>
  <w:num w:numId="14">
    <w:abstractNumId w:val="15"/>
  </w:num>
  <w:num w:numId="15">
    <w:abstractNumId w:val="11"/>
  </w:num>
  <w:num w:numId="16">
    <w:abstractNumId w:val="0"/>
  </w:num>
  <w:num w:numId="17">
    <w:abstractNumId w:val="25"/>
  </w:num>
  <w:num w:numId="18">
    <w:abstractNumId w:val="14"/>
  </w:num>
  <w:num w:numId="19">
    <w:abstractNumId w:val="26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"/>
  </w:num>
  <w:num w:numId="25">
    <w:abstractNumId w:val="2"/>
  </w:num>
  <w:num w:numId="26">
    <w:abstractNumId w:val="7"/>
  </w:num>
  <w:num w:numId="27">
    <w:abstractNumId w:val="18"/>
  </w:num>
  <w:num w:numId="28">
    <w:abstractNumId w:val="9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6"/>
    <w:rsid w:val="00002814"/>
    <w:rsid w:val="00004B3E"/>
    <w:rsid w:val="00004DD4"/>
    <w:rsid w:val="00005CD2"/>
    <w:rsid w:val="0001225D"/>
    <w:rsid w:val="00012F92"/>
    <w:rsid w:val="00017017"/>
    <w:rsid w:val="0002451F"/>
    <w:rsid w:val="00027B03"/>
    <w:rsid w:val="00032602"/>
    <w:rsid w:val="0003291E"/>
    <w:rsid w:val="000357BD"/>
    <w:rsid w:val="000376E7"/>
    <w:rsid w:val="00040ED8"/>
    <w:rsid w:val="000414D9"/>
    <w:rsid w:val="00047733"/>
    <w:rsid w:val="00054E70"/>
    <w:rsid w:val="00055042"/>
    <w:rsid w:val="00057A46"/>
    <w:rsid w:val="00057F5F"/>
    <w:rsid w:val="000628D1"/>
    <w:rsid w:val="00062F26"/>
    <w:rsid w:val="00063A4D"/>
    <w:rsid w:val="00064651"/>
    <w:rsid w:val="000657D2"/>
    <w:rsid w:val="00066935"/>
    <w:rsid w:val="00083E55"/>
    <w:rsid w:val="00085BB8"/>
    <w:rsid w:val="0009360A"/>
    <w:rsid w:val="000941D0"/>
    <w:rsid w:val="000966DC"/>
    <w:rsid w:val="000A0650"/>
    <w:rsid w:val="000A2CAC"/>
    <w:rsid w:val="000B7BB2"/>
    <w:rsid w:val="000C0F91"/>
    <w:rsid w:val="000C31C6"/>
    <w:rsid w:val="000C6C53"/>
    <w:rsid w:val="000C6E65"/>
    <w:rsid w:val="000D26B6"/>
    <w:rsid w:val="000D420D"/>
    <w:rsid w:val="000D64F3"/>
    <w:rsid w:val="000D6A1D"/>
    <w:rsid w:val="000D6D0E"/>
    <w:rsid w:val="000D7195"/>
    <w:rsid w:val="000D7D9D"/>
    <w:rsid w:val="000E7B3C"/>
    <w:rsid w:val="000F5E98"/>
    <w:rsid w:val="000F6545"/>
    <w:rsid w:val="001020D1"/>
    <w:rsid w:val="00103BBB"/>
    <w:rsid w:val="001104EB"/>
    <w:rsid w:val="00113194"/>
    <w:rsid w:val="0011327D"/>
    <w:rsid w:val="00114B6B"/>
    <w:rsid w:val="00115F71"/>
    <w:rsid w:val="001166B9"/>
    <w:rsid w:val="001234B5"/>
    <w:rsid w:val="00125787"/>
    <w:rsid w:val="0012677A"/>
    <w:rsid w:val="00126DFA"/>
    <w:rsid w:val="00131102"/>
    <w:rsid w:val="001335C5"/>
    <w:rsid w:val="001409C0"/>
    <w:rsid w:val="00141758"/>
    <w:rsid w:val="001423E6"/>
    <w:rsid w:val="00143F24"/>
    <w:rsid w:val="0015081E"/>
    <w:rsid w:val="00152E29"/>
    <w:rsid w:val="001569CC"/>
    <w:rsid w:val="0016466D"/>
    <w:rsid w:val="00165D9B"/>
    <w:rsid w:val="001668F5"/>
    <w:rsid w:val="00170A24"/>
    <w:rsid w:val="00176A46"/>
    <w:rsid w:val="001772E0"/>
    <w:rsid w:val="00185BEB"/>
    <w:rsid w:val="001917F0"/>
    <w:rsid w:val="00191920"/>
    <w:rsid w:val="00192EAE"/>
    <w:rsid w:val="00193908"/>
    <w:rsid w:val="00195D01"/>
    <w:rsid w:val="00197471"/>
    <w:rsid w:val="00197EDB"/>
    <w:rsid w:val="001A3A79"/>
    <w:rsid w:val="001A501B"/>
    <w:rsid w:val="001B56EE"/>
    <w:rsid w:val="001C621A"/>
    <w:rsid w:val="001C62A2"/>
    <w:rsid w:val="001D0F3B"/>
    <w:rsid w:val="001D29EA"/>
    <w:rsid w:val="001D2F3A"/>
    <w:rsid w:val="001E1E99"/>
    <w:rsid w:val="001E3E7A"/>
    <w:rsid w:val="001F3171"/>
    <w:rsid w:val="001F5322"/>
    <w:rsid w:val="001F7233"/>
    <w:rsid w:val="00202F8F"/>
    <w:rsid w:val="00217097"/>
    <w:rsid w:val="0021784A"/>
    <w:rsid w:val="002179C4"/>
    <w:rsid w:val="002204B1"/>
    <w:rsid w:val="00220E67"/>
    <w:rsid w:val="002224FF"/>
    <w:rsid w:val="0022274B"/>
    <w:rsid w:val="002245CB"/>
    <w:rsid w:val="00224830"/>
    <w:rsid w:val="00224AD4"/>
    <w:rsid w:val="00226946"/>
    <w:rsid w:val="00227F7D"/>
    <w:rsid w:val="00230940"/>
    <w:rsid w:val="00230FA9"/>
    <w:rsid w:val="00233596"/>
    <w:rsid w:val="0023394A"/>
    <w:rsid w:val="00234886"/>
    <w:rsid w:val="00235511"/>
    <w:rsid w:val="00242FF4"/>
    <w:rsid w:val="00243384"/>
    <w:rsid w:val="0024438E"/>
    <w:rsid w:val="00244AC7"/>
    <w:rsid w:val="00261F4F"/>
    <w:rsid w:val="00267F92"/>
    <w:rsid w:val="00274171"/>
    <w:rsid w:val="0027433C"/>
    <w:rsid w:val="00275756"/>
    <w:rsid w:val="0028194F"/>
    <w:rsid w:val="00282550"/>
    <w:rsid w:val="00296D0F"/>
    <w:rsid w:val="002A166F"/>
    <w:rsid w:val="002A319F"/>
    <w:rsid w:val="002B00C1"/>
    <w:rsid w:val="002B2943"/>
    <w:rsid w:val="002B46D3"/>
    <w:rsid w:val="002C1245"/>
    <w:rsid w:val="002C67EB"/>
    <w:rsid w:val="002D1CBE"/>
    <w:rsid w:val="002D2CA3"/>
    <w:rsid w:val="002E1391"/>
    <w:rsid w:val="002E27F9"/>
    <w:rsid w:val="002E28CC"/>
    <w:rsid w:val="002E5263"/>
    <w:rsid w:val="002F2CAD"/>
    <w:rsid w:val="002F3844"/>
    <w:rsid w:val="002F55A1"/>
    <w:rsid w:val="002F72A5"/>
    <w:rsid w:val="002F7C3C"/>
    <w:rsid w:val="00301A92"/>
    <w:rsid w:val="003066B9"/>
    <w:rsid w:val="00306D49"/>
    <w:rsid w:val="003170F4"/>
    <w:rsid w:val="00317533"/>
    <w:rsid w:val="00320FAE"/>
    <w:rsid w:val="003211C5"/>
    <w:rsid w:val="00322D70"/>
    <w:rsid w:val="00324B37"/>
    <w:rsid w:val="00325FF9"/>
    <w:rsid w:val="00330FA1"/>
    <w:rsid w:val="00334540"/>
    <w:rsid w:val="003361A7"/>
    <w:rsid w:val="0033665A"/>
    <w:rsid w:val="00340EDB"/>
    <w:rsid w:val="00343092"/>
    <w:rsid w:val="00346848"/>
    <w:rsid w:val="0035029B"/>
    <w:rsid w:val="0035075C"/>
    <w:rsid w:val="00357AA7"/>
    <w:rsid w:val="003602DE"/>
    <w:rsid w:val="00362833"/>
    <w:rsid w:val="0036742E"/>
    <w:rsid w:val="00367DDB"/>
    <w:rsid w:val="00370050"/>
    <w:rsid w:val="003709EB"/>
    <w:rsid w:val="00370D85"/>
    <w:rsid w:val="00372319"/>
    <w:rsid w:val="0037236C"/>
    <w:rsid w:val="00372D4C"/>
    <w:rsid w:val="00376925"/>
    <w:rsid w:val="003855CF"/>
    <w:rsid w:val="00386A25"/>
    <w:rsid w:val="00390C55"/>
    <w:rsid w:val="00391BB2"/>
    <w:rsid w:val="00393172"/>
    <w:rsid w:val="0039433E"/>
    <w:rsid w:val="003A3A69"/>
    <w:rsid w:val="003A6361"/>
    <w:rsid w:val="003A719D"/>
    <w:rsid w:val="003B02DE"/>
    <w:rsid w:val="003B0533"/>
    <w:rsid w:val="003B0595"/>
    <w:rsid w:val="003B723E"/>
    <w:rsid w:val="003C005B"/>
    <w:rsid w:val="003C2BCC"/>
    <w:rsid w:val="003C3D82"/>
    <w:rsid w:val="003C5612"/>
    <w:rsid w:val="003C76D2"/>
    <w:rsid w:val="003D347B"/>
    <w:rsid w:val="003D3F08"/>
    <w:rsid w:val="003D570C"/>
    <w:rsid w:val="003E0132"/>
    <w:rsid w:val="003E04AC"/>
    <w:rsid w:val="003E102B"/>
    <w:rsid w:val="003E17A8"/>
    <w:rsid w:val="003E2014"/>
    <w:rsid w:val="003F095C"/>
    <w:rsid w:val="003F11E0"/>
    <w:rsid w:val="003F5C73"/>
    <w:rsid w:val="003F65B8"/>
    <w:rsid w:val="004069CF"/>
    <w:rsid w:val="00416B72"/>
    <w:rsid w:val="0042117D"/>
    <w:rsid w:val="004215AD"/>
    <w:rsid w:val="0042438E"/>
    <w:rsid w:val="00426E2B"/>
    <w:rsid w:val="00427AAE"/>
    <w:rsid w:val="004322A1"/>
    <w:rsid w:val="00432F48"/>
    <w:rsid w:val="00433343"/>
    <w:rsid w:val="0043586D"/>
    <w:rsid w:val="00441493"/>
    <w:rsid w:val="004428B5"/>
    <w:rsid w:val="00461B6E"/>
    <w:rsid w:val="00463FF5"/>
    <w:rsid w:val="00464E55"/>
    <w:rsid w:val="0046612C"/>
    <w:rsid w:val="0047116C"/>
    <w:rsid w:val="004807EE"/>
    <w:rsid w:val="004824A7"/>
    <w:rsid w:val="0048544B"/>
    <w:rsid w:val="004862DC"/>
    <w:rsid w:val="0049210D"/>
    <w:rsid w:val="00496F23"/>
    <w:rsid w:val="004A3BA5"/>
    <w:rsid w:val="004A3F7C"/>
    <w:rsid w:val="004A7CF7"/>
    <w:rsid w:val="004B2882"/>
    <w:rsid w:val="004B35BD"/>
    <w:rsid w:val="004B44AF"/>
    <w:rsid w:val="004B6231"/>
    <w:rsid w:val="004B7A14"/>
    <w:rsid w:val="004C1920"/>
    <w:rsid w:val="004C317B"/>
    <w:rsid w:val="004D1135"/>
    <w:rsid w:val="004D76FB"/>
    <w:rsid w:val="004E0FD8"/>
    <w:rsid w:val="004E1355"/>
    <w:rsid w:val="004E1BCC"/>
    <w:rsid w:val="004F42B5"/>
    <w:rsid w:val="004F77BA"/>
    <w:rsid w:val="005000CB"/>
    <w:rsid w:val="00502733"/>
    <w:rsid w:val="00505E87"/>
    <w:rsid w:val="00511117"/>
    <w:rsid w:val="005118BA"/>
    <w:rsid w:val="0051248A"/>
    <w:rsid w:val="00514AD0"/>
    <w:rsid w:val="00520DB5"/>
    <w:rsid w:val="005230D7"/>
    <w:rsid w:val="00524199"/>
    <w:rsid w:val="0052503D"/>
    <w:rsid w:val="00525129"/>
    <w:rsid w:val="005262D7"/>
    <w:rsid w:val="00534C4D"/>
    <w:rsid w:val="00537CE9"/>
    <w:rsid w:val="0054138F"/>
    <w:rsid w:val="00541B4B"/>
    <w:rsid w:val="00542386"/>
    <w:rsid w:val="00542BAD"/>
    <w:rsid w:val="00543A7B"/>
    <w:rsid w:val="00543F99"/>
    <w:rsid w:val="0055202B"/>
    <w:rsid w:val="005541A8"/>
    <w:rsid w:val="00560A47"/>
    <w:rsid w:val="00562D30"/>
    <w:rsid w:val="0056388B"/>
    <w:rsid w:val="00564628"/>
    <w:rsid w:val="00564745"/>
    <w:rsid w:val="00566CAE"/>
    <w:rsid w:val="005673FB"/>
    <w:rsid w:val="00570233"/>
    <w:rsid w:val="0057182E"/>
    <w:rsid w:val="005725B0"/>
    <w:rsid w:val="00572791"/>
    <w:rsid w:val="00583F58"/>
    <w:rsid w:val="00587B38"/>
    <w:rsid w:val="005908CE"/>
    <w:rsid w:val="0059194D"/>
    <w:rsid w:val="0059697E"/>
    <w:rsid w:val="005A2A3E"/>
    <w:rsid w:val="005A3F47"/>
    <w:rsid w:val="005A7677"/>
    <w:rsid w:val="005C1A12"/>
    <w:rsid w:val="005C35DA"/>
    <w:rsid w:val="005C7CA4"/>
    <w:rsid w:val="005D02AC"/>
    <w:rsid w:val="005D44E0"/>
    <w:rsid w:val="005D6B87"/>
    <w:rsid w:val="005E0A89"/>
    <w:rsid w:val="005E500F"/>
    <w:rsid w:val="005E6BE7"/>
    <w:rsid w:val="005E79F7"/>
    <w:rsid w:val="005F0AA9"/>
    <w:rsid w:val="005F0D2A"/>
    <w:rsid w:val="005F0F3A"/>
    <w:rsid w:val="005F132B"/>
    <w:rsid w:val="005F1502"/>
    <w:rsid w:val="005F5BE0"/>
    <w:rsid w:val="00600D2B"/>
    <w:rsid w:val="00601811"/>
    <w:rsid w:val="00604247"/>
    <w:rsid w:val="00610ADC"/>
    <w:rsid w:val="00612090"/>
    <w:rsid w:val="00617F08"/>
    <w:rsid w:val="006229F6"/>
    <w:rsid w:val="006242D3"/>
    <w:rsid w:val="00625BFD"/>
    <w:rsid w:val="006341EE"/>
    <w:rsid w:val="00634840"/>
    <w:rsid w:val="00635F4D"/>
    <w:rsid w:val="00637B34"/>
    <w:rsid w:val="006400C7"/>
    <w:rsid w:val="00644D83"/>
    <w:rsid w:val="00651BBA"/>
    <w:rsid w:val="00655112"/>
    <w:rsid w:val="00655F12"/>
    <w:rsid w:val="0065638F"/>
    <w:rsid w:val="0067061F"/>
    <w:rsid w:val="006714C3"/>
    <w:rsid w:val="00672ADF"/>
    <w:rsid w:val="006754B5"/>
    <w:rsid w:val="00683454"/>
    <w:rsid w:val="00683C3D"/>
    <w:rsid w:val="006846A5"/>
    <w:rsid w:val="0069378B"/>
    <w:rsid w:val="00694166"/>
    <w:rsid w:val="006974A4"/>
    <w:rsid w:val="006A44A1"/>
    <w:rsid w:val="006C374F"/>
    <w:rsid w:val="006C37C8"/>
    <w:rsid w:val="006C4D97"/>
    <w:rsid w:val="006C4E19"/>
    <w:rsid w:val="006D2665"/>
    <w:rsid w:val="006D4554"/>
    <w:rsid w:val="006D4C12"/>
    <w:rsid w:val="006D59A0"/>
    <w:rsid w:val="006D6F63"/>
    <w:rsid w:val="006E2A7E"/>
    <w:rsid w:val="006F44A5"/>
    <w:rsid w:val="00701BD1"/>
    <w:rsid w:val="00703C0F"/>
    <w:rsid w:val="007040A2"/>
    <w:rsid w:val="00710A9D"/>
    <w:rsid w:val="00711547"/>
    <w:rsid w:val="00715ABF"/>
    <w:rsid w:val="00717EB2"/>
    <w:rsid w:val="00721055"/>
    <w:rsid w:val="00722DD3"/>
    <w:rsid w:val="00733224"/>
    <w:rsid w:val="00736A82"/>
    <w:rsid w:val="007417C4"/>
    <w:rsid w:val="00750759"/>
    <w:rsid w:val="00754ED9"/>
    <w:rsid w:val="00755A11"/>
    <w:rsid w:val="007569B6"/>
    <w:rsid w:val="007575F1"/>
    <w:rsid w:val="0076272C"/>
    <w:rsid w:val="0076735C"/>
    <w:rsid w:val="00773A55"/>
    <w:rsid w:val="00773E7A"/>
    <w:rsid w:val="0077672B"/>
    <w:rsid w:val="00777B71"/>
    <w:rsid w:val="007805C5"/>
    <w:rsid w:val="0078210C"/>
    <w:rsid w:val="00783927"/>
    <w:rsid w:val="00786C56"/>
    <w:rsid w:val="00786D93"/>
    <w:rsid w:val="00787397"/>
    <w:rsid w:val="007935DB"/>
    <w:rsid w:val="00795A39"/>
    <w:rsid w:val="0079683D"/>
    <w:rsid w:val="007A2192"/>
    <w:rsid w:val="007A3F7D"/>
    <w:rsid w:val="007B1AC2"/>
    <w:rsid w:val="007B3501"/>
    <w:rsid w:val="007B5BAB"/>
    <w:rsid w:val="007B6EE8"/>
    <w:rsid w:val="007B78E9"/>
    <w:rsid w:val="007C1449"/>
    <w:rsid w:val="007C1BE8"/>
    <w:rsid w:val="007C53D2"/>
    <w:rsid w:val="007C78EA"/>
    <w:rsid w:val="007D2020"/>
    <w:rsid w:val="007D2339"/>
    <w:rsid w:val="007E5A49"/>
    <w:rsid w:val="007E6EB1"/>
    <w:rsid w:val="007E78FA"/>
    <w:rsid w:val="007F0279"/>
    <w:rsid w:val="007F05F3"/>
    <w:rsid w:val="007F29D9"/>
    <w:rsid w:val="007F3B71"/>
    <w:rsid w:val="007F4383"/>
    <w:rsid w:val="007F4FC6"/>
    <w:rsid w:val="008137B6"/>
    <w:rsid w:val="00817FD6"/>
    <w:rsid w:val="00835CE8"/>
    <w:rsid w:val="008367E1"/>
    <w:rsid w:val="00840737"/>
    <w:rsid w:val="008417E9"/>
    <w:rsid w:val="00845705"/>
    <w:rsid w:val="008462FA"/>
    <w:rsid w:val="0084784D"/>
    <w:rsid w:val="00853CCE"/>
    <w:rsid w:val="008644CA"/>
    <w:rsid w:val="00867C58"/>
    <w:rsid w:val="00872F80"/>
    <w:rsid w:val="00873CF4"/>
    <w:rsid w:val="008758E4"/>
    <w:rsid w:val="00877026"/>
    <w:rsid w:val="0087772D"/>
    <w:rsid w:val="008805C0"/>
    <w:rsid w:val="008865BC"/>
    <w:rsid w:val="008870DB"/>
    <w:rsid w:val="008914A4"/>
    <w:rsid w:val="00891D0B"/>
    <w:rsid w:val="00893F90"/>
    <w:rsid w:val="00896208"/>
    <w:rsid w:val="00896CA3"/>
    <w:rsid w:val="008A474B"/>
    <w:rsid w:val="008B6838"/>
    <w:rsid w:val="008C76E2"/>
    <w:rsid w:val="008D4F14"/>
    <w:rsid w:val="008E1EEE"/>
    <w:rsid w:val="008E2413"/>
    <w:rsid w:val="008E4115"/>
    <w:rsid w:val="008E7E05"/>
    <w:rsid w:val="008F4F64"/>
    <w:rsid w:val="00907EE3"/>
    <w:rsid w:val="00910E92"/>
    <w:rsid w:val="00913A5B"/>
    <w:rsid w:val="00923C0B"/>
    <w:rsid w:val="009279AB"/>
    <w:rsid w:val="0093201A"/>
    <w:rsid w:val="0093406E"/>
    <w:rsid w:val="00947F6B"/>
    <w:rsid w:val="009503E0"/>
    <w:rsid w:val="0096180E"/>
    <w:rsid w:val="009628FE"/>
    <w:rsid w:val="00964AA0"/>
    <w:rsid w:val="0096783B"/>
    <w:rsid w:val="009743E9"/>
    <w:rsid w:val="00981B57"/>
    <w:rsid w:val="0098369A"/>
    <w:rsid w:val="0098766E"/>
    <w:rsid w:val="00994302"/>
    <w:rsid w:val="00996323"/>
    <w:rsid w:val="00996A55"/>
    <w:rsid w:val="0099724E"/>
    <w:rsid w:val="009A0B3B"/>
    <w:rsid w:val="009A0F56"/>
    <w:rsid w:val="009A3960"/>
    <w:rsid w:val="009A4056"/>
    <w:rsid w:val="009A4864"/>
    <w:rsid w:val="009A5C7F"/>
    <w:rsid w:val="009B121B"/>
    <w:rsid w:val="009B2DCC"/>
    <w:rsid w:val="009B4896"/>
    <w:rsid w:val="009B536D"/>
    <w:rsid w:val="009B6DFA"/>
    <w:rsid w:val="009C2706"/>
    <w:rsid w:val="009C29D3"/>
    <w:rsid w:val="009C76B5"/>
    <w:rsid w:val="009D3D05"/>
    <w:rsid w:val="009D70E2"/>
    <w:rsid w:val="009E04AC"/>
    <w:rsid w:val="009E6581"/>
    <w:rsid w:val="009F4380"/>
    <w:rsid w:val="009F48CF"/>
    <w:rsid w:val="009F5CA9"/>
    <w:rsid w:val="009F7595"/>
    <w:rsid w:val="00A06F4E"/>
    <w:rsid w:val="00A103FF"/>
    <w:rsid w:val="00A1096D"/>
    <w:rsid w:val="00A11EA0"/>
    <w:rsid w:val="00A12E6C"/>
    <w:rsid w:val="00A12F37"/>
    <w:rsid w:val="00A148D6"/>
    <w:rsid w:val="00A14964"/>
    <w:rsid w:val="00A200B6"/>
    <w:rsid w:val="00A25152"/>
    <w:rsid w:val="00A26167"/>
    <w:rsid w:val="00A267DA"/>
    <w:rsid w:val="00A27DAF"/>
    <w:rsid w:val="00A35163"/>
    <w:rsid w:val="00A359A8"/>
    <w:rsid w:val="00A36DD4"/>
    <w:rsid w:val="00A4656F"/>
    <w:rsid w:val="00A6265F"/>
    <w:rsid w:val="00A62F84"/>
    <w:rsid w:val="00A635FE"/>
    <w:rsid w:val="00A65A52"/>
    <w:rsid w:val="00A673F6"/>
    <w:rsid w:val="00A67EA3"/>
    <w:rsid w:val="00A67FA6"/>
    <w:rsid w:val="00A70270"/>
    <w:rsid w:val="00A70580"/>
    <w:rsid w:val="00A73606"/>
    <w:rsid w:val="00A76239"/>
    <w:rsid w:val="00A764B0"/>
    <w:rsid w:val="00A80DC3"/>
    <w:rsid w:val="00A92375"/>
    <w:rsid w:val="00A959EB"/>
    <w:rsid w:val="00AB064C"/>
    <w:rsid w:val="00AB2799"/>
    <w:rsid w:val="00AB29F5"/>
    <w:rsid w:val="00AB30FE"/>
    <w:rsid w:val="00AB3B53"/>
    <w:rsid w:val="00AB688E"/>
    <w:rsid w:val="00AB75BE"/>
    <w:rsid w:val="00AC2B38"/>
    <w:rsid w:val="00AC2F80"/>
    <w:rsid w:val="00AD1B74"/>
    <w:rsid w:val="00AD2548"/>
    <w:rsid w:val="00AD3D47"/>
    <w:rsid w:val="00AD63CF"/>
    <w:rsid w:val="00AD66B7"/>
    <w:rsid w:val="00AE5018"/>
    <w:rsid w:val="00AE50C0"/>
    <w:rsid w:val="00AE7258"/>
    <w:rsid w:val="00AF545C"/>
    <w:rsid w:val="00AF7AD2"/>
    <w:rsid w:val="00B0568C"/>
    <w:rsid w:val="00B06C44"/>
    <w:rsid w:val="00B06DEC"/>
    <w:rsid w:val="00B10F6F"/>
    <w:rsid w:val="00B12CDB"/>
    <w:rsid w:val="00B148FF"/>
    <w:rsid w:val="00B154A6"/>
    <w:rsid w:val="00B222C3"/>
    <w:rsid w:val="00B22BFD"/>
    <w:rsid w:val="00B346DA"/>
    <w:rsid w:val="00B40C19"/>
    <w:rsid w:val="00B443D7"/>
    <w:rsid w:val="00B46F24"/>
    <w:rsid w:val="00B5210D"/>
    <w:rsid w:val="00B56B53"/>
    <w:rsid w:val="00B56E69"/>
    <w:rsid w:val="00B6094B"/>
    <w:rsid w:val="00B61814"/>
    <w:rsid w:val="00B6673F"/>
    <w:rsid w:val="00B77759"/>
    <w:rsid w:val="00B81F77"/>
    <w:rsid w:val="00B82379"/>
    <w:rsid w:val="00B823AC"/>
    <w:rsid w:val="00B90EF0"/>
    <w:rsid w:val="00B94CD0"/>
    <w:rsid w:val="00BA1055"/>
    <w:rsid w:val="00BB1A9E"/>
    <w:rsid w:val="00BB6737"/>
    <w:rsid w:val="00BC17AB"/>
    <w:rsid w:val="00BC27B9"/>
    <w:rsid w:val="00BC2865"/>
    <w:rsid w:val="00BC477F"/>
    <w:rsid w:val="00BC595D"/>
    <w:rsid w:val="00BC5EDA"/>
    <w:rsid w:val="00BD1E40"/>
    <w:rsid w:val="00BD3C39"/>
    <w:rsid w:val="00BD65A3"/>
    <w:rsid w:val="00BD6EEC"/>
    <w:rsid w:val="00BE2158"/>
    <w:rsid w:val="00BE2585"/>
    <w:rsid w:val="00BE35D5"/>
    <w:rsid w:val="00BE5090"/>
    <w:rsid w:val="00BE68E5"/>
    <w:rsid w:val="00BE6F40"/>
    <w:rsid w:val="00BF462B"/>
    <w:rsid w:val="00C00066"/>
    <w:rsid w:val="00C02C4F"/>
    <w:rsid w:val="00C04A86"/>
    <w:rsid w:val="00C10600"/>
    <w:rsid w:val="00C1267D"/>
    <w:rsid w:val="00C139E8"/>
    <w:rsid w:val="00C13A4E"/>
    <w:rsid w:val="00C13CC9"/>
    <w:rsid w:val="00C1491A"/>
    <w:rsid w:val="00C21CA7"/>
    <w:rsid w:val="00C23A5B"/>
    <w:rsid w:val="00C261F1"/>
    <w:rsid w:val="00C26580"/>
    <w:rsid w:val="00C32260"/>
    <w:rsid w:val="00C324E0"/>
    <w:rsid w:val="00C37234"/>
    <w:rsid w:val="00C377C4"/>
    <w:rsid w:val="00C403E2"/>
    <w:rsid w:val="00C427B0"/>
    <w:rsid w:val="00C44900"/>
    <w:rsid w:val="00C4737D"/>
    <w:rsid w:val="00C5209C"/>
    <w:rsid w:val="00C56943"/>
    <w:rsid w:val="00C61BF8"/>
    <w:rsid w:val="00C61C12"/>
    <w:rsid w:val="00C61CDD"/>
    <w:rsid w:val="00C667EF"/>
    <w:rsid w:val="00C67715"/>
    <w:rsid w:val="00C70A0A"/>
    <w:rsid w:val="00C7172B"/>
    <w:rsid w:val="00C74496"/>
    <w:rsid w:val="00C74C44"/>
    <w:rsid w:val="00C762BC"/>
    <w:rsid w:val="00C80033"/>
    <w:rsid w:val="00C83424"/>
    <w:rsid w:val="00C8363F"/>
    <w:rsid w:val="00C85878"/>
    <w:rsid w:val="00C97249"/>
    <w:rsid w:val="00CA0C59"/>
    <w:rsid w:val="00CA6F05"/>
    <w:rsid w:val="00CB5BF7"/>
    <w:rsid w:val="00CB7431"/>
    <w:rsid w:val="00CC0FDB"/>
    <w:rsid w:val="00CC6C8D"/>
    <w:rsid w:val="00CC789F"/>
    <w:rsid w:val="00CD5B09"/>
    <w:rsid w:val="00CD5D58"/>
    <w:rsid w:val="00CD77E2"/>
    <w:rsid w:val="00CE0A5D"/>
    <w:rsid w:val="00CE25F3"/>
    <w:rsid w:val="00CE2F45"/>
    <w:rsid w:val="00CE4009"/>
    <w:rsid w:val="00CE512A"/>
    <w:rsid w:val="00CE5CD8"/>
    <w:rsid w:val="00CE604B"/>
    <w:rsid w:val="00CF0488"/>
    <w:rsid w:val="00CF2C4B"/>
    <w:rsid w:val="00CF2CEF"/>
    <w:rsid w:val="00CF790B"/>
    <w:rsid w:val="00D023FA"/>
    <w:rsid w:val="00D0378A"/>
    <w:rsid w:val="00D11C0A"/>
    <w:rsid w:val="00D142C6"/>
    <w:rsid w:val="00D17C2E"/>
    <w:rsid w:val="00D20E48"/>
    <w:rsid w:val="00D24880"/>
    <w:rsid w:val="00D26212"/>
    <w:rsid w:val="00D26461"/>
    <w:rsid w:val="00D32E55"/>
    <w:rsid w:val="00D35201"/>
    <w:rsid w:val="00D36935"/>
    <w:rsid w:val="00D41EED"/>
    <w:rsid w:val="00D52940"/>
    <w:rsid w:val="00D57B6D"/>
    <w:rsid w:val="00D6135B"/>
    <w:rsid w:val="00D61E7C"/>
    <w:rsid w:val="00D625CB"/>
    <w:rsid w:val="00D64DD1"/>
    <w:rsid w:val="00D6529F"/>
    <w:rsid w:val="00D6577F"/>
    <w:rsid w:val="00D67A91"/>
    <w:rsid w:val="00D72EFA"/>
    <w:rsid w:val="00D7798B"/>
    <w:rsid w:val="00D8073A"/>
    <w:rsid w:val="00D9271E"/>
    <w:rsid w:val="00D9462E"/>
    <w:rsid w:val="00D978B2"/>
    <w:rsid w:val="00D97C34"/>
    <w:rsid w:val="00DA0560"/>
    <w:rsid w:val="00DB1549"/>
    <w:rsid w:val="00DB27F7"/>
    <w:rsid w:val="00DB4073"/>
    <w:rsid w:val="00DB6525"/>
    <w:rsid w:val="00DC70D5"/>
    <w:rsid w:val="00DC7BFA"/>
    <w:rsid w:val="00DD2FEA"/>
    <w:rsid w:val="00DE0A7D"/>
    <w:rsid w:val="00DE0C54"/>
    <w:rsid w:val="00DF3F64"/>
    <w:rsid w:val="00E0175C"/>
    <w:rsid w:val="00E039AB"/>
    <w:rsid w:val="00E07D86"/>
    <w:rsid w:val="00E12077"/>
    <w:rsid w:val="00E1209F"/>
    <w:rsid w:val="00E227DD"/>
    <w:rsid w:val="00E269B8"/>
    <w:rsid w:val="00E313EC"/>
    <w:rsid w:val="00E3310E"/>
    <w:rsid w:val="00E33B85"/>
    <w:rsid w:val="00E34E82"/>
    <w:rsid w:val="00E43E3C"/>
    <w:rsid w:val="00E440D4"/>
    <w:rsid w:val="00E4625E"/>
    <w:rsid w:val="00E51AA3"/>
    <w:rsid w:val="00E65488"/>
    <w:rsid w:val="00E6699B"/>
    <w:rsid w:val="00E710CC"/>
    <w:rsid w:val="00E7147D"/>
    <w:rsid w:val="00E753C3"/>
    <w:rsid w:val="00E75A63"/>
    <w:rsid w:val="00E934F3"/>
    <w:rsid w:val="00E94AB8"/>
    <w:rsid w:val="00E97C32"/>
    <w:rsid w:val="00EA24FA"/>
    <w:rsid w:val="00EA46C8"/>
    <w:rsid w:val="00EA78ED"/>
    <w:rsid w:val="00EA7A1C"/>
    <w:rsid w:val="00EB232E"/>
    <w:rsid w:val="00EB783B"/>
    <w:rsid w:val="00EC4B42"/>
    <w:rsid w:val="00EC56AB"/>
    <w:rsid w:val="00ED0EE5"/>
    <w:rsid w:val="00ED1897"/>
    <w:rsid w:val="00ED288D"/>
    <w:rsid w:val="00ED5485"/>
    <w:rsid w:val="00ED579F"/>
    <w:rsid w:val="00ED608B"/>
    <w:rsid w:val="00ED7BB8"/>
    <w:rsid w:val="00EE2917"/>
    <w:rsid w:val="00EE72E2"/>
    <w:rsid w:val="00EF01C6"/>
    <w:rsid w:val="00EF226B"/>
    <w:rsid w:val="00EF4452"/>
    <w:rsid w:val="00EF7D70"/>
    <w:rsid w:val="00F0334D"/>
    <w:rsid w:val="00F12755"/>
    <w:rsid w:val="00F129EF"/>
    <w:rsid w:val="00F146E2"/>
    <w:rsid w:val="00F238D1"/>
    <w:rsid w:val="00F2765E"/>
    <w:rsid w:val="00F3798D"/>
    <w:rsid w:val="00F37AF4"/>
    <w:rsid w:val="00F43708"/>
    <w:rsid w:val="00F45FAA"/>
    <w:rsid w:val="00F46363"/>
    <w:rsid w:val="00F509FF"/>
    <w:rsid w:val="00F52D3E"/>
    <w:rsid w:val="00F553FD"/>
    <w:rsid w:val="00F568F5"/>
    <w:rsid w:val="00F56B09"/>
    <w:rsid w:val="00F57D0A"/>
    <w:rsid w:val="00F616BF"/>
    <w:rsid w:val="00F61CB1"/>
    <w:rsid w:val="00F62F4F"/>
    <w:rsid w:val="00F6654A"/>
    <w:rsid w:val="00F67EDB"/>
    <w:rsid w:val="00F71C84"/>
    <w:rsid w:val="00F72622"/>
    <w:rsid w:val="00F77A79"/>
    <w:rsid w:val="00F80F15"/>
    <w:rsid w:val="00F876B2"/>
    <w:rsid w:val="00F905E5"/>
    <w:rsid w:val="00FA1544"/>
    <w:rsid w:val="00FA3780"/>
    <w:rsid w:val="00FA4605"/>
    <w:rsid w:val="00FA516F"/>
    <w:rsid w:val="00FA5839"/>
    <w:rsid w:val="00FA5A4B"/>
    <w:rsid w:val="00FA6C06"/>
    <w:rsid w:val="00FB365A"/>
    <w:rsid w:val="00FC0E00"/>
    <w:rsid w:val="00FC7ECF"/>
    <w:rsid w:val="00FD5692"/>
    <w:rsid w:val="00FD5E61"/>
    <w:rsid w:val="00FE0426"/>
    <w:rsid w:val="00FE0889"/>
    <w:rsid w:val="00FE23CA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CA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1917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2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qFormat/>
    <w:rsid w:val="0065638F"/>
    <w:rPr>
      <w:rFonts w:cs="Times New Roman"/>
      <w:b/>
      <w:bCs/>
    </w:rPr>
  </w:style>
  <w:style w:type="paragraph" w:styleId="Header">
    <w:name w:val="header"/>
    <w:basedOn w:val="Normal"/>
    <w:link w:val="HeaderChar"/>
    <w:rsid w:val="00391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391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1D0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table" w:styleId="TableGrid">
    <w:name w:val="Table Grid"/>
    <w:basedOn w:val="TableNormal"/>
    <w:rsid w:val="00543F9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586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67EDB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cs="Times New Roman"/>
      <w:sz w:val="24"/>
      <w:szCs w:val="24"/>
    </w:rPr>
  </w:style>
  <w:style w:type="character" w:customStyle="1" w:styleId="text1">
    <w:name w:val="text1"/>
    <w:basedOn w:val="DefaultParagraphFont"/>
    <w:rsid w:val="00F67EDB"/>
    <w:rPr>
      <w:rFonts w:ascii="Arial" w:hAnsi="Arial" w:cs="Arial"/>
      <w:sz w:val="18"/>
      <w:szCs w:val="18"/>
    </w:rPr>
  </w:style>
  <w:style w:type="paragraph" w:customStyle="1" w:styleId="arial">
    <w:name w:val="arial"/>
    <w:basedOn w:val="Normal"/>
    <w:rsid w:val="00583F58"/>
    <w:rPr>
      <w:lang w:val="pl-PL" w:eastAsia="en-GB"/>
    </w:rPr>
  </w:style>
  <w:style w:type="paragraph" w:customStyle="1" w:styleId="Default">
    <w:name w:val="Default"/>
    <w:rsid w:val="00891D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195D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cs="Times New Roman"/>
    </w:rPr>
  </w:style>
  <w:style w:type="character" w:styleId="FootnoteReference">
    <w:name w:val="footnote reference"/>
    <w:basedOn w:val="DefaultParagraphFont"/>
    <w:semiHidden/>
    <w:rsid w:val="00195D01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1917F0"/>
    <w:rPr>
      <w:rFonts w:cs="Times New Roman"/>
      <w:i/>
      <w:iCs/>
    </w:rPr>
  </w:style>
  <w:style w:type="paragraph" w:styleId="NormalWeb">
    <w:name w:val="Normal (Web)"/>
    <w:basedOn w:val="Normal"/>
    <w:rsid w:val="001917F0"/>
    <w:pPr>
      <w:spacing w:before="100" w:beforeAutospacing="1" w:after="100" w:afterAutospacing="1"/>
    </w:pPr>
  </w:style>
  <w:style w:type="paragraph" w:customStyle="1" w:styleId="jupara">
    <w:name w:val="jupara"/>
    <w:basedOn w:val="Normal"/>
    <w:rsid w:val="00537CE9"/>
    <w:pPr>
      <w:spacing w:before="100" w:beforeAutospacing="1" w:after="100" w:afterAutospacing="1"/>
    </w:pPr>
  </w:style>
  <w:style w:type="paragraph" w:customStyle="1" w:styleId="juhiroman">
    <w:name w:val="juhiroman"/>
    <w:basedOn w:val="Normal"/>
    <w:rsid w:val="00AD66B7"/>
    <w:pPr>
      <w:spacing w:before="100" w:beforeAutospacing="1" w:after="100" w:afterAutospacing="1"/>
    </w:pPr>
  </w:style>
  <w:style w:type="paragraph" w:customStyle="1" w:styleId="JuPara0">
    <w:name w:val="Ju_Para"/>
    <w:aliases w:val="Left,First line:  0 cm"/>
    <w:basedOn w:val="Normal"/>
    <w:link w:val="JuParaCar"/>
    <w:rsid w:val="003361A7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ar">
    <w:name w:val="Ju_Para Car"/>
    <w:basedOn w:val="DefaultParagraphFont"/>
    <w:link w:val="JuPara0"/>
    <w:locked/>
    <w:rsid w:val="003361A7"/>
    <w:rPr>
      <w:rFonts w:cs="Times New Roman"/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5F1502"/>
    <w:rPr>
      <w:rFonts w:cs="Times New Roman"/>
    </w:rPr>
  </w:style>
  <w:style w:type="character" w:customStyle="1" w:styleId="JuParaChar1">
    <w:name w:val="Ju_Para Char1"/>
    <w:basedOn w:val="DefaultParagraphFont"/>
    <w:rsid w:val="005F1502"/>
    <w:rPr>
      <w:rFonts w:cs="Times New Roman"/>
      <w:sz w:val="24"/>
      <w:lang w:val="en-GB" w:eastAsia="fr-FR" w:bidi="ar-SA"/>
    </w:rPr>
  </w:style>
  <w:style w:type="paragraph" w:styleId="ListParagraph">
    <w:name w:val="List Paragraph"/>
    <w:basedOn w:val="Normal"/>
    <w:uiPriority w:val="34"/>
    <w:qFormat/>
    <w:rsid w:val="00D142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248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464E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E5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E5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CA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1917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2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qFormat/>
    <w:rsid w:val="0065638F"/>
    <w:rPr>
      <w:rFonts w:cs="Times New Roman"/>
      <w:b/>
      <w:bCs/>
    </w:rPr>
  </w:style>
  <w:style w:type="paragraph" w:styleId="Header">
    <w:name w:val="header"/>
    <w:basedOn w:val="Normal"/>
    <w:link w:val="HeaderChar"/>
    <w:rsid w:val="00391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391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1D0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table" w:styleId="TableGrid">
    <w:name w:val="Table Grid"/>
    <w:basedOn w:val="TableNormal"/>
    <w:rsid w:val="00543F9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586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67EDB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cs="Times New Roman"/>
      <w:sz w:val="24"/>
      <w:szCs w:val="24"/>
    </w:rPr>
  </w:style>
  <w:style w:type="character" w:customStyle="1" w:styleId="text1">
    <w:name w:val="text1"/>
    <w:basedOn w:val="DefaultParagraphFont"/>
    <w:rsid w:val="00F67EDB"/>
    <w:rPr>
      <w:rFonts w:ascii="Arial" w:hAnsi="Arial" w:cs="Arial"/>
      <w:sz w:val="18"/>
      <w:szCs w:val="18"/>
    </w:rPr>
  </w:style>
  <w:style w:type="paragraph" w:customStyle="1" w:styleId="arial">
    <w:name w:val="arial"/>
    <w:basedOn w:val="Normal"/>
    <w:rsid w:val="00583F58"/>
    <w:rPr>
      <w:lang w:val="pl-PL" w:eastAsia="en-GB"/>
    </w:rPr>
  </w:style>
  <w:style w:type="paragraph" w:customStyle="1" w:styleId="Default">
    <w:name w:val="Default"/>
    <w:rsid w:val="00891D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195D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cs="Times New Roman"/>
    </w:rPr>
  </w:style>
  <w:style w:type="character" w:styleId="FootnoteReference">
    <w:name w:val="footnote reference"/>
    <w:basedOn w:val="DefaultParagraphFont"/>
    <w:semiHidden/>
    <w:rsid w:val="00195D01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1917F0"/>
    <w:rPr>
      <w:rFonts w:cs="Times New Roman"/>
      <w:i/>
      <w:iCs/>
    </w:rPr>
  </w:style>
  <w:style w:type="paragraph" w:styleId="NormalWeb">
    <w:name w:val="Normal (Web)"/>
    <w:basedOn w:val="Normal"/>
    <w:rsid w:val="001917F0"/>
    <w:pPr>
      <w:spacing w:before="100" w:beforeAutospacing="1" w:after="100" w:afterAutospacing="1"/>
    </w:pPr>
  </w:style>
  <w:style w:type="paragraph" w:customStyle="1" w:styleId="jupara">
    <w:name w:val="jupara"/>
    <w:basedOn w:val="Normal"/>
    <w:rsid w:val="00537CE9"/>
    <w:pPr>
      <w:spacing w:before="100" w:beforeAutospacing="1" w:after="100" w:afterAutospacing="1"/>
    </w:pPr>
  </w:style>
  <w:style w:type="paragraph" w:customStyle="1" w:styleId="juhiroman">
    <w:name w:val="juhiroman"/>
    <w:basedOn w:val="Normal"/>
    <w:rsid w:val="00AD66B7"/>
    <w:pPr>
      <w:spacing w:before="100" w:beforeAutospacing="1" w:after="100" w:afterAutospacing="1"/>
    </w:pPr>
  </w:style>
  <w:style w:type="paragraph" w:customStyle="1" w:styleId="JuPara0">
    <w:name w:val="Ju_Para"/>
    <w:aliases w:val="Left,First line:  0 cm"/>
    <w:basedOn w:val="Normal"/>
    <w:link w:val="JuParaCar"/>
    <w:rsid w:val="003361A7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ar">
    <w:name w:val="Ju_Para Car"/>
    <w:basedOn w:val="DefaultParagraphFont"/>
    <w:link w:val="JuPara0"/>
    <w:locked/>
    <w:rsid w:val="003361A7"/>
    <w:rPr>
      <w:rFonts w:cs="Times New Roman"/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5F1502"/>
    <w:rPr>
      <w:rFonts w:cs="Times New Roman"/>
    </w:rPr>
  </w:style>
  <w:style w:type="character" w:customStyle="1" w:styleId="JuParaChar1">
    <w:name w:val="Ju_Para Char1"/>
    <w:basedOn w:val="DefaultParagraphFont"/>
    <w:rsid w:val="005F1502"/>
    <w:rPr>
      <w:rFonts w:cs="Times New Roman"/>
      <w:sz w:val="24"/>
      <w:lang w:val="en-GB" w:eastAsia="fr-FR" w:bidi="ar-SA"/>
    </w:rPr>
  </w:style>
  <w:style w:type="paragraph" w:styleId="ListParagraph">
    <w:name w:val="List Paragraph"/>
    <w:basedOn w:val="Normal"/>
    <w:uiPriority w:val="34"/>
    <w:qFormat/>
    <w:rsid w:val="00D142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248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464E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E5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E5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">
              <w:marLeft w:val="1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75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5.%20TEMPLATES\Decision%20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597A-437B-446F-9F11-E3376094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new</Template>
  <TotalTime>490</TotalTime>
  <Pages>8</Pages>
  <Words>2755</Words>
  <Characters>13688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HUMAN RIGHTS REVIEW PANEL</vt:lpstr>
      <vt:lpstr>HUMAN RIGHTS REVIEW PANEL</vt:lpstr>
    </vt:vector>
  </TitlesOfParts>
  <Company>EULEX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REVIEW PANEL</dc:title>
  <dc:creator>Joanna Marszalik</dc:creator>
  <cp:lastModifiedBy>Kushtrim Xhaferi</cp:lastModifiedBy>
  <cp:revision>101</cp:revision>
  <cp:lastPrinted>2015-05-14T08:26:00Z</cp:lastPrinted>
  <dcterms:created xsi:type="dcterms:W3CDTF">2015-05-14T08:38:00Z</dcterms:created>
  <dcterms:modified xsi:type="dcterms:W3CDTF">2015-06-15T09:59:00Z</dcterms:modified>
</cp:coreProperties>
</file>